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02" w:rsidRPr="00FA2C66" w:rsidRDefault="00DE3802" w:rsidP="00FA2C66">
      <w:pPr>
        <w:widowControl/>
        <w:tabs>
          <w:tab w:val="center" w:pos="2001"/>
        </w:tabs>
        <w:jc w:val="left"/>
        <w:rPr>
          <w:color w:val="000000"/>
        </w:rPr>
      </w:pPr>
    </w:p>
    <w:p w:rsidR="00DE3802" w:rsidRPr="00FA2C66" w:rsidRDefault="00DE3802" w:rsidP="00FA2C66">
      <w:pPr>
        <w:widowControl/>
        <w:tabs>
          <w:tab w:val="center" w:pos="2001"/>
        </w:tabs>
        <w:jc w:val="left"/>
        <w:rPr>
          <w:color w:val="000000"/>
        </w:rPr>
      </w:pPr>
    </w:p>
    <w:p w:rsidR="00125EA0" w:rsidRDefault="00125EA0">
      <w:pPr>
        <w:tabs>
          <w:tab w:val="right" w:pos="9070"/>
        </w:tabs>
      </w:pPr>
    </w:p>
    <w:tbl>
      <w:tblPr>
        <w:tblW w:w="0" w:type="auto"/>
        <w:tblLayout w:type="fixed"/>
        <w:tblCellMar>
          <w:left w:w="0" w:type="dxa"/>
          <w:right w:w="0" w:type="dxa"/>
        </w:tblCellMar>
        <w:tblLook w:val="0000"/>
      </w:tblPr>
      <w:tblGrid>
        <w:gridCol w:w="9070"/>
      </w:tblGrid>
      <w:tr w:rsidR="00125EA0">
        <w:tblPrEx>
          <w:tblCellMar>
            <w:top w:w="0" w:type="dxa"/>
            <w:left w:w="0" w:type="dxa"/>
            <w:bottom w:w="0" w:type="dxa"/>
            <w:right w:w="0" w:type="dxa"/>
          </w:tblCellMar>
        </w:tblPrEx>
        <w:tc>
          <w:tcPr>
            <w:tcW w:w="9070" w:type="dxa"/>
            <w:tcBorders>
              <w:top w:val="nil"/>
              <w:left w:val="nil"/>
              <w:bottom w:val="single" w:sz="2" w:space="0" w:color="000000"/>
              <w:right w:val="nil"/>
            </w:tcBorders>
          </w:tcPr>
          <w:p w:rsidR="00125EA0" w:rsidRDefault="00125EA0">
            <w:pPr>
              <w:tabs>
                <w:tab w:val="left" w:pos="0"/>
                <w:tab w:val="left" w:pos="8505"/>
              </w:tabs>
              <w:rPr>
                <w:b/>
                <w:bCs/>
                <w:sz w:val="16"/>
                <w:szCs w:val="16"/>
              </w:rPr>
            </w:pPr>
          </w:p>
          <w:p w:rsidR="00125EA0" w:rsidRDefault="00C0762D">
            <w:pPr>
              <w:tabs>
                <w:tab w:val="left" w:pos="8505"/>
              </w:tabs>
              <w:jc w:val="center"/>
              <w:rPr>
                <w:sz w:val="20"/>
                <w:szCs w:val="20"/>
              </w:rPr>
            </w:pPr>
            <w:r>
              <w:rPr>
                <w:noProof/>
                <w:sz w:val="20"/>
                <w:szCs w:val="20"/>
              </w:rPr>
              <w:drawing>
                <wp:inline distT="0" distB="0" distL="0" distR="0">
                  <wp:extent cx="457200" cy="690245"/>
                  <wp:effectExtent l="1905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srcRect/>
                          <a:stretch>
                            <a:fillRect/>
                          </a:stretch>
                        </pic:blipFill>
                        <pic:spPr bwMode="auto">
                          <a:xfrm>
                            <a:off x="0" y="0"/>
                            <a:ext cx="457200" cy="690245"/>
                          </a:xfrm>
                          <a:prstGeom prst="rect">
                            <a:avLst/>
                          </a:prstGeom>
                          <a:noFill/>
                          <a:ln w="9525">
                            <a:noFill/>
                            <a:miter lim="800000"/>
                            <a:headEnd/>
                            <a:tailEnd/>
                          </a:ln>
                        </pic:spPr>
                      </pic:pic>
                    </a:graphicData>
                  </a:graphic>
                </wp:inline>
              </w:drawing>
            </w:r>
          </w:p>
          <w:p w:rsidR="00125EA0" w:rsidRDefault="00125EA0">
            <w:pPr>
              <w:tabs>
                <w:tab w:val="center" w:pos="4819"/>
                <w:tab w:val="right" w:pos="9638"/>
              </w:tabs>
              <w:spacing w:before="120"/>
              <w:jc w:val="center"/>
              <w:rPr>
                <w:rFonts w:ascii="Univers" w:hAnsi="Univers" w:cs="Univers"/>
                <w:color w:val="000000"/>
              </w:rPr>
            </w:pPr>
            <w:r>
              <w:rPr>
                <w:rFonts w:ascii="Univers" w:eastAsia="Times New Roman" w:cs="Univers"/>
                <w:b/>
                <w:bCs/>
                <w:color w:val="000000"/>
                <w:sz w:val="40"/>
                <w:szCs w:val="40"/>
              </w:rPr>
              <w:t>Regione Umbria</w:t>
            </w:r>
          </w:p>
          <w:p w:rsidR="00125EA0" w:rsidRDefault="00125EA0">
            <w:pPr>
              <w:jc w:val="center"/>
              <w:rPr>
                <w:rFonts w:ascii="Bodoni BT" w:hAnsi="Bodoni BT" w:cs="Bodoni BT"/>
                <w:color w:val="000000"/>
              </w:rPr>
            </w:pPr>
            <w:r>
              <w:rPr>
                <w:rFonts w:ascii="Bodoni BT" w:hAnsi="Bodoni BT" w:cs="Bodoni BT"/>
                <w:color w:val="000000"/>
              </w:rPr>
              <w:t>Giunta Regionale</w:t>
            </w:r>
          </w:p>
        </w:tc>
      </w:tr>
      <w:tr w:rsidR="00125EA0">
        <w:tblPrEx>
          <w:tblCellMar>
            <w:top w:w="0" w:type="dxa"/>
            <w:left w:w="0" w:type="dxa"/>
            <w:bottom w:w="0" w:type="dxa"/>
            <w:right w:w="0" w:type="dxa"/>
          </w:tblCellMar>
        </w:tblPrEx>
        <w:tc>
          <w:tcPr>
            <w:tcW w:w="9070" w:type="dxa"/>
            <w:tcBorders>
              <w:top w:val="single" w:sz="2" w:space="0" w:color="000000"/>
              <w:left w:val="nil"/>
              <w:bottom w:val="nil"/>
              <w:right w:val="nil"/>
            </w:tcBorders>
          </w:tcPr>
          <w:p w:rsidR="00125EA0" w:rsidRDefault="00125EA0">
            <w:pPr>
              <w:tabs>
                <w:tab w:val="left" w:pos="0"/>
                <w:tab w:val="left" w:pos="8505"/>
              </w:tabs>
              <w:rPr>
                <w:b/>
                <w:bCs/>
                <w:sz w:val="16"/>
                <w:szCs w:val="16"/>
              </w:rPr>
            </w:pPr>
          </w:p>
        </w:tc>
      </w:tr>
      <w:tr w:rsidR="00125EA0">
        <w:tblPrEx>
          <w:tblCellMar>
            <w:top w:w="0" w:type="dxa"/>
            <w:left w:w="0" w:type="dxa"/>
            <w:bottom w:w="0" w:type="dxa"/>
            <w:right w:w="0" w:type="dxa"/>
          </w:tblCellMar>
        </w:tblPrEx>
        <w:trPr>
          <w:trHeight w:val="567"/>
        </w:trPr>
        <w:tc>
          <w:tcPr>
            <w:tcW w:w="9070" w:type="dxa"/>
            <w:tcBorders>
              <w:top w:val="nil"/>
              <w:left w:val="nil"/>
              <w:bottom w:val="nil"/>
              <w:right w:val="nil"/>
            </w:tcBorders>
            <w:vAlign w:val="center"/>
          </w:tcPr>
          <w:p w:rsidR="00125EA0" w:rsidRDefault="00125EA0">
            <w:pPr>
              <w:tabs>
                <w:tab w:val="left" w:pos="0"/>
                <w:tab w:val="left" w:pos="8505"/>
              </w:tabs>
              <w:jc w:val="center"/>
              <w:rPr>
                <w:b/>
                <w:bCs/>
              </w:rPr>
            </w:pPr>
            <w:r>
              <w:rPr>
                <w:b/>
                <w:bCs/>
              </w:rPr>
              <w:t>DIREZIONE REGIONALE ATTIVITA' PRODUTTIVE. LAVORO, FORMAZIONE E ISTRUZIONE</w:t>
            </w:r>
          </w:p>
        </w:tc>
      </w:tr>
      <w:tr w:rsidR="00125EA0">
        <w:tblPrEx>
          <w:tblCellMar>
            <w:top w:w="0" w:type="dxa"/>
            <w:left w:w="0" w:type="dxa"/>
            <w:bottom w:w="0" w:type="dxa"/>
            <w:right w:w="0" w:type="dxa"/>
          </w:tblCellMar>
        </w:tblPrEx>
        <w:trPr>
          <w:trHeight w:val="567"/>
        </w:trPr>
        <w:tc>
          <w:tcPr>
            <w:tcW w:w="9070" w:type="dxa"/>
            <w:tcBorders>
              <w:top w:val="nil"/>
              <w:left w:val="nil"/>
              <w:bottom w:val="nil"/>
              <w:right w:val="nil"/>
            </w:tcBorders>
            <w:vAlign w:val="center"/>
          </w:tcPr>
          <w:p w:rsidR="00125EA0" w:rsidRDefault="00125EA0">
            <w:pPr>
              <w:jc w:val="center"/>
              <w:rPr>
                <w:b/>
                <w:bCs/>
              </w:rPr>
            </w:pPr>
            <w:r>
              <w:rPr>
                <w:b/>
                <w:bCs/>
              </w:rPr>
              <w:t>Servizio Programmazione politiche e servizi per il lavoro</w:t>
            </w:r>
          </w:p>
          <w:p w:rsidR="00125EA0" w:rsidRDefault="00125EA0">
            <w:pPr>
              <w:jc w:val="center"/>
              <w:rPr>
                <w:b/>
                <w:bCs/>
              </w:rPr>
            </w:pPr>
          </w:p>
        </w:tc>
      </w:tr>
    </w:tbl>
    <w:p w:rsidR="00125EA0" w:rsidRDefault="00125EA0"/>
    <w:p w:rsidR="00125EA0" w:rsidRDefault="00125EA0"/>
    <w:p w:rsidR="00125EA0" w:rsidRDefault="00125EA0"/>
    <w:p w:rsidR="00125EA0" w:rsidRDefault="00125EA0">
      <w:pPr>
        <w:keepNext/>
        <w:jc w:val="center"/>
        <w:outlineLvl w:val="3"/>
        <w:rPr>
          <w:b/>
          <w:bCs/>
          <w:sz w:val="32"/>
          <w:szCs w:val="32"/>
        </w:rPr>
      </w:pPr>
      <w:r>
        <w:rPr>
          <w:b/>
          <w:bCs/>
          <w:sz w:val="32"/>
          <w:szCs w:val="32"/>
        </w:rPr>
        <w:t>DETERMINAZIONE DIRIGENZIALE</w:t>
      </w:r>
    </w:p>
    <w:p w:rsidR="00125EA0" w:rsidRDefault="00125EA0">
      <w:pPr>
        <w:jc w:val="center"/>
      </w:pPr>
    </w:p>
    <w:p w:rsidR="00125EA0" w:rsidRDefault="00125EA0"/>
    <w:p w:rsidR="00125EA0" w:rsidRDefault="00125EA0">
      <w:pPr>
        <w:jc w:val="center"/>
        <w:rPr>
          <w:b/>
          <w:bCs/>
          <w:lang w:val="de-DE"/>
        </w:rPr>
      </w:pPr>
      <w:r>
        <w:rPr>
          <w:b/>
          <w:bCs/>
          <w:lang w:val="de-DE"/>
        </w:rPr>
        <w:t>N. 13714  DEL  30/12/2016</w:t>
      </w:r>
    </w:p>
    <w:p w:rsidR="00125EA0" w:rsidRDefault="00125EA0">
      <w:pPr>
        <w:rPr>
          <w:lang w:val="de-DE"/>
        </w:rPr>
      </w:pPr>
    </w:p>
    <w:p w:rsidR="00125EA0" w:rsidRDefault="00125EA0">
      <w:pPr>
        <w:ind w:left="1418" w:hanging="1418"/>
        <w:rPr>
          <w:lang w:val="de-DE"/>
        </w:rPr>
      </w:pPr>
    </w:p>
    <w:tbl>
      <w:tblPr>
        <w:tblW w:w="0" w:type="auto"/>
        <w:tblInd w:w="-108" w:type="dxa"/>
        <w:tblLayout w:type="fixed"/>
        <w:tblCellMar>
          <w:left w:w="0" w:type="dxa"/>
          <w:right w:w="0" w:type="dxa"/>
        </w:tblCellMar>
        <w:tblLook w:val="0000"/>
      </w:tblPr>
      <w:tblGrid>
        <w:gridCol w:w="1787"/>
        <w:gridCol w:w="7391"/>
      </w:tblGrid>
      <w:tr w:rsidR="00125EA0">
        <w:tblPrEx>
          <w:tblCellMar>
            <w:top w:w="0" w:type="dxa"/>
            <w:left w:w="0" w:type="dxa"/>
            <w:bottom w:w="0" w:type="dxa"/>
            <w:right w:w="0" w:type="dxa"/>
          </w:tblCellMar>
        </w:tblPrEx>
        <w:trPr>
          <w:trHeight w:val="2835"/>
        </w:trPr>
        <w:tc>
          <w:tcPr>
            <w:tcW w:w="1787" w:type="dxa"/>
            <w:tcBorders>
              <w:top w:val="nil"/>
              <w:left w:val="nil"/>
              <w:bottom w:val="nil"/>
              <w:right w:val="nil"/>
            </w:tcBorders>
          </w:tcPr>
          <w:p w:rsidR="00125EA0" w:rsidRDefault="00125EA0">
            <w:pPr>
              <w:tabs>
                <w:tab w:val="left" w:pos="1418"/>
              </w:tabs>
            </w:pPr>
            <w:r>
              <w:rPr>
                <w:b/>
                <w:bCs/>
              </w:rPr>
              <w:t>OGGETTO:</w:t>
            </w:r>
            <w:r>
              <w:t xml:space="preserve"> </w:t>
            </w:r>
            <w:r>
              <w:rPr>
                <w:b/>
                <w:bCs/>
              </w:rPr>
              <w:t xml:space="preserve"> </w:t>
            </w:r>
          </w:p>
        </w:tc>
        <w:tc>
          <w:tcPr>
            <w:tcW w:w="7391" w:type="dxa"/>
            <w:tcBorders>
              <w:top w:val="nil"/>
              <w:left w:val="nil"/>
              <w:bottom w:val="nil"/>
              <w:right w:val="nil"/>
            </w:tcBorders>
          </w:tcPr>
          <w:p w:rsidR="00125EA0" w:rsidRDefault="00471F4B" w:rsidP="00471F4B">
            <w:pPr>
              <w:tabs>
                <w:tab w:val="left" w:pos="1418"/>
              </w:tabs>
            </w:pPr>
            <w:r w:rsidRPr="00471F4B">
              <w:t>Riapertura dei termini per la presentazione domande telematiche con il sistema SARe per la richiesta di Ammortizzatori Sociali in Deroga ai sensi della DGR n. 1355 del 21/11/2016 a seguito dell’assegnazione di ulteriori risorse.</w:t>
            </w:r>
          </w:p>
        </w:tc>
      </w:tr>
    </w:tbl>
    <w:p w:rsidR="00125EA0" w:rsidRDefault="00125EA0">
      <w:pPr>
        <w:tabs>
          <w:tab w:val="left" w:pos="1418"/>
        </w:tabs>
        <w:ind w:left="1418" w:hanging="1418"/>
      </w:pPr>
    </w:p>
    <w:p w:rsidR="00676616" w:rsidRDefault="00676616" w:rsidP="00676616">
      <w:pPr>
        <w:tabs>
          <w:tab w:val="left" w:pos="6521"/>
        </w:tabs>
        <w:ind w:right="142"/>
      </w:pPr>
      <w:r>
        <w:rPr>
          <w:b/>
          <w:bCs/>
        </w:rPr>
        <w:t>Visto</w:t>
      </w:r>
      <w:r>
        <w:t xml:space="preserve"> il decreto legislativo 30 marzo 2001, 165 e sue successive modifiche ed integrazioni;</w:t>
      </w:r>
    </w:p>
    <w:p w:rsidR="00676616" w:rsidRDefault="00676616" w:rsidP="00676616">
      <w:r>
        <w:rPr>
          <w:b/>
          <w:bCs/>
        </w:rPr>
        <w:t>Vista</w:t>
      </w:r>
      <w:r>
        <w:t xml:space="preserve"> la legge regionale 1 febbraio 2005, n. 2 e i successivi regolamenti di organizzazione, attuativi della stessa;</w:t>
      </w:r>
    </w:p>
    <w:p w:rsidR="00676616" w:rsidRDefault="00676616" w:rsidP="00676616">
      <w:r>
        <w:rPr>
          <w:b/>
          <w:bCs/>
        </w:rPr>
        <w:t>Vista</w:t>
      </w:r>
      <w:r>
        <w:t xml:space="preserve"> la legge 7 agosto 1990, n. 241 e sue successive modifiche ed integrazioni;</w:t>
      </w:r>
    </w:p>
    <w:p w:rsidR="00676616" w:rsidRDefault="00676616" w:rsidP="00676616">
      <w:r>
        <w:rPr>
          <w:b/>
          <w:bCs/>
        </w:rPr>
        <w:t>Vista</w:t>
      </w:r>
      <w:r>
        <w:t xml:space="preserve"> la legge regionale 16 settembre 2011, n. 8, “Semplificazione amministrativa e normativa dell’ordinamento regionale e degli Enti locali territoriali”;</w:t>
      </w:r>
    </w:p>
    <w:p w:rsidR="00676616" w:rsidRDefault="00676616" w:rsidP="00676616">
      <w:r>
        <w:rPr>
          <w:b/>
          <w:bCs/>
        </w:rPr>
        <w:t>Visto</w:t>
      </w:r>
      <w:r>
        <w:t xml:space="preserve"> il Regolamento interno di questa Giunta;</w:t>
      </w:r>
    </w:p>
    <w:p w:rsidR="00676616" w:rsidRPr="001A2FC0" w:rsidRDefault="00676616" w:rsidP="00676616">
      <w:pPr>
        <w:tabs>
          <w:tab w:val="left" w:pos="360"/>
        </w:tabs>
        <w:rPr>
          <w:rFonts w:eastAsia="Times New Roman"/>
        </w:rPr>
      </w:pPr>
      <w:r w:rsidRPr="001A2FC0">
        <w:rPr>
          <w:rFonts w:eastAsia="Times New Roman"/>
          <w:b/>
        </w:rPr>
        <w:t>Visto</w:t>
      </w:r>
      <w:r w:rsidRPr="001A2FC0">
        <w:rPr>
          <w:rFonts w:eastAsia="Times New Roman"/>
        </w:rPr>
        <w:t xml:space="preserve"> il Decreto del Ministero del Lavoro e delle Politiche Sociali n. 83473 del 1 agosto 2014;</w:t>
      </w:r>
    </w:p>
    <w:p w:rsidR="00676616" w:rsidRPr="001A2FC0" w:rsidRDefault="00676616" w:rsidP="00676616">
      <w:pPr>
        <w:tabs>
          <w:tab w:val="left" w:pos="360"/>
        </w:tabs>
        <w:rPr>
          <w:rFonts w:eastAsia="Times New Roman"/>
        </w:rPr>
      </w:pPr>
      <w:r w:rsidRPr="001A2FC0">
        <w:rPr>
          <w:rFonts w:eastAsia="Times New Roman"/>
          <w:b/>
        </w:rPr>
        <w:t>Vista</w:t>
      </w:r>
      <w:r w:rsidRPr="001A2FC0">
        <w:rPr>
          <w:rFonts w:eastAsia="Times New Roman"/>
        </w:rPr>
        <w:t xml:space="preserve"> la DGR n. 1569 del 01/12/2014, Accordo Ammortizzatori Sociali in deroga-chiusura anno 2014;</w:t>
      </w:r>
    </w:p>
    <w:p w:rsidR="00676616" w:rsidRPr="001A2FC0" w:rsidRDefault="00676616" w:rsidP="00676616">
      <w:pPr>
        <w:tabs>
          <w:tab w:val="left" w:pos="360"/>
        </w:tabs>
        <w:rPr>
          <w:rFonts w:eastAsia="Times New Roman"/>
        </w:rPr>
      </w:pPr>
      <w:r w:rsidRPr="001A2FC0">
        <w:rPr>
          <w:rFonts w:eastAsia="Times New Roman"/>
          <w:b/>
        </w:rPr>
        <w:t>Visto</w:t>
      </w:r>
      <w:r w:rsidRPr="001A2FC0">
        <w:rPr>
          <w:rFonts w:eastAsia="Times New Roman"/>
        </w:rPr>
        <w:t xml:space="preserve"> il Dlgs 148/2015 “Disposizione per il riordino della normativa in materia di ammortizzatori sociali in costanza di rapporto di lavoro” e smi;</w:t>
      </w:r>
    </w:p>
    <w:p w:rsidR="00676616" w:rsidRPr="001A2FC0" w:rsidRDefault="00676616" w:rsidP="00676616">
      <w:pPr>
        <w:tabs>
          <w:tab w:val="left" w:pos="360"/>
        </w:tabs>
        <w:rPr>
          <w:rFonts w:eastAsia="Times New Roman"/>
        </w:rPr>
      </w:pPr>
      <w:r w:rsidRPr="001A2FC0">
        <w:rPr>
          <w:rFonts w:eastAsia="Times New Roman"/>
          <w:b/>
        </w:rPr>
        <w:t>Vista</w:t>
      </w:r>
      <w:r w:rsidRPr="001A2FC0">
        <w:rPr>
          <w:rFonts w:eastAsia="Times New Roman"/>
        </w:rPr>
        <w:t xml:space="preserve"> la DGR 1658 del 29/12/2015 avente ad oggetto “Accordo ammortizzatori sociali in deroga anno 2016”;</w:t>
      </w:r>
    </w:p>
    <w:p w:rsidR="00676616" w:rsidRPr="001A2FC0" w:rsidRDefault="00676616" w:rsidP="00676616">
      <w:pPr>
        <w:tabs>
          <w:tab w:val="left" w:pos="360"/>
        </w:tabs>
        <w:rPr>
          <w:rFonts w:eastAsia="Times New Roman"/>
        </w:rPr>
      </w:pPr>
      <w:r w:rsidRPr="001A2FC0">
        <w:rPr>
          <w:rFonts w:eastAsia="Times New Roman"/>
          <w:b/>
        </w:rPr>
        <w:t>Vista</w:t>
      </w:r>
      <w:r w:rsidRPr="001A2FC0">
        <w:rPr>
          <w:rFonts w:eastAsia="Times New Roman"/>
        </w:rPr>
        <w:t xml:space="preserve"> la DGR n. 324 del 29/03/2016 “Ricognizione procedure di autorizzazione ammortizzatori sociali in deroga anno 2015 e utilizzo dei fondi previsti dal Dlgs 148/2015 art 44 comma 6- e tutta la normativa e tutti gli atti ivi richiamati che si danno per integralmente riportati;</w:t>
      </w:r>
    </w:p>
    <w:p w:rsidR="00676616" w:rsidRPr="001A2FC0" w:rsidRDefault="00676616" w:rsidP="00676616">
      <w:pPr>
        <w:tabs>
          <w:tab w:val="left" w:pos="360"/>
        </w:tabs>
        <w:rPr>
          <w:rFonts w:eastAsia="Times New Roman"/>
        </w:rPr>
      </w:pPr>
      <w:r w:rsidRPr="001A2FC0">
        <w:rPr>
          <w:rFonts w:eastAsia="Times New Roman"/>
          <w:b/>
        </w:rPr>
        <w:lastRenderedPageBreak/>
        <w:t>Visti</w:t>
      </w:r>
      <w:r w:rsidRPr="001A2FC0">
        <w:rPr>
          <w:rFonts w:eastAsia="Times New Roman"/>
        </w:rPr>
        <w:t xml:space="preserve"> i Decreti del Ministero del Lavoro e delle politiche Sociali n. 26591 del 24 dicembre 2015 e n 261 del 7 gennaio 2016;</w:t>
      </w:r>
    </w:p>
    <w:p w:rsidR="00676616" w:rsidRPr="001A2FC0" w:rsidRDefault="00676616" w:rsidP="00676616">
      <w:pPr>
        <w:tabs>
          <w:tab w:val="left" w:pos="360"/>
        </w:tabs>
        <w:rPr>
          <w:rFonts w:eastAsia="Times New Roman"/>
        </w:rPr>
      </w:pPr>
      <w:r w:rsidRPr="001A2FC0">
        <w:rPr>
          <w:rFonts w:eastAsia="Times New Roman"/>
          <w:b/>
        </w:rPr>
        <w:t>Vista</w:t>
      </w:r>
      <w:r w:rsidRPr="001A2FC0">
        <w:rPr>
          <w:rFonts w:eastAsia="Times New Roman"/>
        </w:rPr>
        <w:t xml:space="preserve"> la circolare Inps N 56 del 29 marzo 2016, “Normativa Ammortizzatori sociali in deroga”.</w:t>
      </w:r>
    </w:p>
    <w:p w:rsidR="00676616" w:rsidRPr="001A2FC0" w:rsidRDefault="00676616" w:rsidP="00676616">
      <w:pPr>
        <w:tabs>
          <w:tab w:val="left" w:pos="360"/>
        </w:tabs>
        <w:rPr>
          <w:rFonts w:eastAsia="Times New Roman"/>
        </w:rPr>
      </w:pPr>
      <w:r w:rsidRPr="001A2FC0">
        <w:rPr>
          <w:rFonts w:eastAsia="Times New Roman"/>
          <w:b/>
        </w:rPr>
        <w:t>Ritenuta</w:t>
      </w:r>
      <w:r w:rsidRPr="001A2FC0">
        <w:rPr>
          <w:rFonts w:eastAsia="Times New Roman"/>
        </w:rPr>
        <w:t xml:space="preserve"> l’urgenza di attivare le misure per la salvaguardia dei livelli occupazionali nelle aree colpite dal grave sisma del 24/08/2016;</w:t>
      </w:r>
    </w:p>
    <w:p w:rsidR="00676616" w:rsidRPr="001A2FC0" w:rsidRDefault="00676616" w:rsidP="00676616">
      <w:pPr>
        <w:tabs>
          <w:tab w:val="left" w:pos="360"/>
        </w:tabs>
        <w:rPr>
          <w:rFonts w:eastAsia="Times New Roman"/>
        </w:rPr>
      </w:pPr>
      <w:r w:rsidRPr="001A2FC0">
        <w:rPr>
          <w:rFonts w:eastAsia="Times New Roman"/>
          <w:b/>
        </w:rPr>
        <w:t>Tenuto conto</w:t>
      </w:r>
      <w:r w:rsidRPr="001A2FC0">
        <w:rPr>
          <w:rFonts w:eastAsia="Times New Roman"/>
        </w:rPr>
        <w:t xml:space="preserve"> degli esiti dell’incontro convocato d’urgenza dal Ministro del Lavoro e Politiche Sociali con le 4 Regioni interessate dal sisma tenutosi a Roma il 01/09/2016;</w:t>
      </w:r>
    </w:p>
    <w:p w:rsidR="00676616" w:rsidRPr="001A2FC0" w:rsidRDefault="00676616" w:rsidP="00676616">
      <w:pPr>
        <w:rPr>
          <w:rFonts w:eastAsia="Times New Roman"/>
        </w:rPr>
      </w:pPr>
      <w:r w:rsidRPr="001A2FC0">
        <w:rPr>
          <w:rFonts w:eastAsia="Times New Roman"/>
          <w:b/>
        </w:rPr>
        <w:t xml:space="preserve">Vista </w:t>
      </w:r>
      <w:r w:rsidRPr="001A2FC0">
        <w:rPr>
          <w:rFonts w:eastAsia="Times New Roman"/>
        </w:rPr>
        <w:t>la DGR n.986 del 06/09/2016, conseguente alla proposta dell’Assessore Paparelli e  avente ad oggetto “Modifiche ed integrazioni all’Accordo per la gestione degli ammortizzatori sociali in deroga anno 2016 di cui alla DGR 1658 del 29/12/2015 per fronteggiare le conseguenze del sisma del 24/08/2016”;</w:t>
      </w:r>
    </w:p>
    <w:p w:rsidR="00676616" w:rsidRPr="001A2FC0" w:rsidRDefault="00676616" w:rsidP="00676616">
      <w:pPr>
        <w:rPr>
          <w:rFonts w:eastAsia="Times New Roman"/>
          <w:color w:val="000000"/>
          <w:lang w:eastAsia="en-US"/>
        </w:rPr>
      </w:pPr>
      <w:r w:rsidRPr="001A2FC0">
        <w:rPr>
          <w:rFonts w:eastAsia="Times New Roman"/>
          <w:b/>
          <w:color w:val="000000"/>
          <w:lang w:eastAsia="en-US"/>
        </w:rPr>
        <w:t>Vista</w:t>
      </w:r>
      <w:r w:rsidRPr="001A2FC0">
        <w:rPr>
          <w:rFonts w:eastAsia="Times New Roman"/>
          <w:color w:val="000000"/>
          <w:lang w:eastAsia="en-US"/>
        </w:rPr>
        <w:t xml:space="preserve"> la DD n. 8683 del 16/09/2016 “Modalità operative per la richiesta di Cassa Integrazione in Deroga per Datori di Lavoro con causale “evento sisma” ai sensi della DGR n. 986 del 06/09/2016;</w:t>
      </w:r>
    </w:p>
    <w:p w:rsidR="00676616" w:rsidRPr="001A2FC0" w:rsidRDefault="00676616" w:rsidP="00676616">
      <w:pPr>
        <w:rPr>
          <w:rFonts w:eastAsia="Times New Roman"/>
          <w:color w:val="000000"/>
          <w:lang w:eastAsia="en-US"/>
        </w:rPr>
      </w:pPr>
      <w:r w:rsidRPr="001A2FC0">
        <w:rPr>
          <w:rFonts w:eastAsia="Times New Roman"/>
          <w:b/>
          <w:color w:val="000000"/>
          <w:lang w:eastAsia="en-US"/>
        </w:rPr>
        <w:t xml:space="preserve">Visto </w:t>
      </w:r>
      <w:r w:rsidRPr="001A2FC0">
        <w:rPr>
          <w:rFonts w:eastAsia="Times New Roman"/>
          <w:color w:val="000000"/>
          <w:lang w:eastAsia="en-US"/>
        </w:rPr>
        <w:t>il DL n. 189 del 17/10/2016 avente a oggetto “Interventi urgenti in favore delle popolazioni colpite dal sisma del 24 agosto 2016”;</w:t>
      </w:r>
    </w:p>
    <w:p w:rsidR="00676616" w:rsidRPr="001A2FC0" w:rsidRDefault="00676616" w:rsidP="00676616">
      <w:pPr>
        <w:rPr>
          <w:rFonts w:eastAsia="Times New Roman"/>
          <w:color w:val="000000"/>
          <w:lang w:eastAsia="en-US"/>
        </w:rPr>
      </w:pPr>
      <w:r w:rsidRPr="001A2FC0">
        <w:rPr>
          <w:rFonts w:eastAsia="Times New Roman"/>
          <w:b/>
          <w:color w:val="000000"/>
          <w:lang w:eastAsia="en-US"/>
        </w:rPr>
        <w:t xml:space="preserve">Vista </w:t>
      </w:r>
      <w:r w:rsidRPr="001A2FC0">
        <w:rPr>
          <w:rFonts w:eastAsia="Times New Roman"/>
          <w:color w:val="000000"/>
          <w:lang w:eastAsia="en-US"/>
        </w:rPr>
        <w:t>la Circolare n. 34 del 04/11/2016 del MLPS;</w:t>
      </w:r>
    </w:p>
    <w:p w:rsidR="00676616" w:rsidRPr="001A2FC0" w:rsidRDefault="00676616" w:rsidP="00676616">
      <w:pPr>
        <w:rPr>
          <w:rFonts w:eastAsia="Times New Roman"/>
          <w:color w:val="000000"/>
          <w:lang w:eastAsia="en-US"/>
        </w:rPr>
      </w:pPr>
      <w:r w:rsidRPr="001A2FC0">
        <w:rPr>
          <w:rFonts w:eastAsia="Times New Roman"/>
          <w:b/>
          <w:color w:val="000000"/>
          <w:lang w:eastAsia="en-US"/>
        </w:rPr>
        <w:t xml:space="preserve">Vista </w:t>
      </w:r>
      <w:r w:rsidRPr="001A2FC0">
        <w:rPr>
          <w:rFonts w:eastAsia="Times New Roman"/>
          <w:color w:val="000000"/>
          <w:lang w:eastAsia="en-US"/>
        </w:rPr>
        <w:t>l’ordinanza del Commissario alla ricostruzione n. 3  del 16/11/2016;</w:t>
      </w:r>
    </w:p>
    <w:p w:rsidR="00676616" w:rsidRPr="001A2FC0" w:rsidRDefault="00676616" w:rsidP="00676616">
      <w:pPr>
        <w:rPr>
          <w:rFonts w:eastAsia="Times New Roman"/>
          <w:color w:val="000000"/>
          <w:lang w:eastAsia="en-US"/>
        </w:rPr>
      </w:pPr>
      <w:r w:rsidRPr="001A2FC0">
        <w:rPr>
          <w:rFonts w:eastAsia="Times New Roman"/>
          <w:b/>
          <w:color w:val="000000"/>
          <w:lang w:eastAsia="en-US"/>
        </w:rPr>
        <w:t>Visto</w:t>
      </w:r>
      <w:r w:rsidRPr="001A2FC0">
        <w:rPr>
          <w:rFonts w:eastAsia="Times New Roman"/>
          <w:color w:val="000000"/>
          <w:lang w:eastAsia="en-US"/>
        </w:rPr>
        <w:t xml:space="preserve"> il DL n. 205 dell’11 novembre 2016 recante “Nuovi interventi urgenti in favore delle popolazioni e dei territori interessati dagli eventi sismici del 2016”;</w:t>
      </w:r>
    </w:p>
    <w:p w:rsidR="00676616" w:rsidRDefault="00676616" w:rsidP="00676616">
      <w:pPr>
        <w:rPr>
          <w:rFonts w:eastAsia="Times New Roman"/>
          <w:color w:val="000000"/>
          <w:lang w:eastAsia="en-US"/>
        </w:rPr>
      </w:pPr>
      <w:r w:rsidRPr="001A2FC0">
        <w:rPr>
          <w:rFonts w:eastAsia="Times New Roman"/>
          <w:b/>
          <w:color w:val="000000"/>
          <w:lang w:eastAsia="en-US"/>
        </w:rPr>
        <w:t xml:space="preserve">Vista </w:t>
      </w:r>
      <w:r w:rsidRPr="001A2FC0">
        <w:rPr>
          <w:rFonts w:eastAsia="Times New Roman"/>
          <w:color w:val="000000"/>
          <w:lang w:eastAsia="en-US"/>
        </w:rPr>
        <w:t xml:space="preserve">la DGR n.1355 del 21/11/2016 “Accordo per la gestione degli ammortizzatori sociali in deroga anno 2016-2017 in conformità alla circolare del MLPS n. 34/2016 a seguito dell’incontro con il partenariato del 14.11.2016” che contiene al suo interno le modifiche ed integrazioni all’Accordo per la gestione degli ammortizzatori sociali in deroga anno 2016 di cui alla DGR 1658 del 29/12/2015 per fronteggiare le conseguenze del sisma del 24/08/2016 e alla DGR 986/2016; </w:t>
      </w:r>
    </w:p>
    <w:p w:rsidR="00676616" w:rsidRDefault="00676616" w:rsidP="00676616">
      <w:pPr>
        <w:rPr>
          <w:rFonts w:eastAsia="Times New Roman"/>
          <w:color w:val="000000"/>
          <w:lang w:eastAsia="en-US"/>
        </w:rPr>
      </w:pPr>
      <w:r w:rsidRPr="0066655E">
        <w:rPr>
          <w:rFonts w:eastAsia="Times New Roman"/>
          <w:b/>
          <w:color w:val="000000"/>
          <w:lang w:eastAsia="en-US"/>
        </w:rPr>
        <w:t>Visto</w:t>
      </w:r>
      <w:r w:rsidRPr="0066655E">
        <w:rPr>
          <w:rFonts w:eastAsia="Times New Roman"/>
          <w:color w:val="000000"/>
          <w:lang w:eastAsia="en-US"/>
        </w:rPr>
        <w:t xml:space="preserve"> che al punto 5 dalla DGR  n. 1355 del 21/11/2016 </w:t>
      </w:r>
      <w:r>
        <w:rPr>
          <w:rFonts w:eastAsia="Times New Roman"/>
          <w:color w:val="000000"/>
          <w:lang w:eastAsia="en-US"/>
        </w:rPr>
        <w:t>è data possibilità al Dirigente di adottare</w:t>
      </w:r>
      <w:r w:rsidRPr="0066655E">
        <w:rPr>
          <w:rFonts w:eastAsia="Times New Roman"/>
          <w:color w:val="000000"/>
          <w:lang w:eastAsia="en-US"/>
        </w:rPr>
        <w:t xml:space="preserve"> atti necessari a modifica degli aspetti gestionali e di autorizzazione;</w:t>
      </w:r>
    </w:p>
    <w:p w:rsidR="00676616" w:rsidRDefault="00676616" w:rsidP="00676616">
      <w:pPr>
        <w:rPr>
          <w:rFonts w:eastAsia="Times New Roman"/>
          <w:color w:val="000000"/>
          <w:lang w:eastAsia="en-US"/>
        </w:rPr>
      </w:pPr>
      <w:r w:rsidRPr="00825813">
        <w:rPr>
          <w:rFonts w:eastAsia="Times New Roman"/>
          <w:b/>
          <w:color w:val="000000"/>
          <w:lang w:eastAsia="en-US"/>
        </w:rPr>
        <w:t>Vista</w:t>
      </w:r>
      <w:r>
        <w:rPr>
          <w:rFonts w:eastAsia="Times New Roman"/>
          <w:color w:val="000000"/>
          <w:lang w:eastAsia="en-US"/>
        </w:rPr>
        <w:t xml:space="preserve"> la Circolare INPS n. 217 del 13/12/2016;</w:t>
      </w:r>
    </w:p>
    <w:p w:rsidR="00676616" w:rsidRDefault="00676616" w:rsidP="00676616">
      <w:r>
        <w:rPr>
          <w:rFonts w:eastAsia="Times New Roman"/>
          <w:b/>
          <w:color w:val="000000"/>
          <w:lang w:eastAsia="en-US"/>
        </w:rPr>
        <w:t xml:space="preserve">Vista </w:t>
      </w:r>
      <w:r>
        <w:rPr>
          <w:rFonts w:eastAsia="Times New Roman"/>
          <w:color w:val="000000"/>
          <w:lang w:eastAsia="en-US"/>
        </w:rPr>
        <w:t xml:space="preserve">la DD n. 12806 del 15/12/2016 che prevedeva </w:t>
      </w:r>
      <w:r w:rsidRPr="007466FE">
        <w:t>le ore 10 del 27.12.2016 quale termine ultimo per la presentazione di domande telematiche con il sistema SARe</w:t>
      </w:r>
      <w:r>
        <w:t>;</w:t>
      </w:r>
    </w:p>
    <w:p w:rsidR="00676616" w:rsidRDefault="00676616" w:rsidP="00676616">
      <w:r>
        <w:rPr>
          <w:rFonts w:eastAsia="Times New Roman"/>
          <w:b/>
          <w:color w:val="000000"/>
          <w:lang w:eastAsia="en-US"/>
        </w:rPr>
        <w:t xml:space="preserve">Vista </w:t>
      </w:r>
      <w:r>
        <w:rPr>
          <w:rFonts w:eastAsia="Times New Roman"/>
          <w:color w:val="000000"/>
          <w:lang w:eastAsia="en-US"/>
        </w:rPr>
        <w:t>la DD n. 13491 del 27/12/2016 che prevedeva la proroga del termine alle ore 24 del 27/12/2</w:t>
      </w:r>
      <w:r w:rsidRPr="007466FE">
        <w:t>016 quale termine ultimo per la presentazione di domande telematiche con il sistema SARe</w:t>
      </w:r>
      <w:r>
        <w:t xml:space="preserve"> </w:t>
      </w:r>
      <w:r>
        <w:rPr>
          <w:rFonts w:eastAsia="Times New Roman"/>
          <w:color w:val="000000"/>
          <w:lang w:eastAsia="en-US"/>
        </w:rPr>
        <w:t>limitatamente alla tipologia A</w:t>
      </w:r>
      <w:r>
        <w:t>;</w:t>
      </w:r>
    </w:p>
    <w:p w:rsidR="00676616" w:rsidRDefault="00676616" w:rsidP="00676616">
      <w:r w:rsidRPr="00083084">
        <w:rPr>
          <w:rFonts w:eastAsia="Times New Roman"/>
          <w:b/>
        </w:rPr>
        <w:t>Vista</w:t>
      </w:r>
      <w:r>
        <w:rPr>
          <w:rFonts w:eastAsia="Times New Roman"/>
        </w:rPr>
        <w:t xml:space="preserve"> la DGR n. </w:t>
      </w:r>
      <w:r w:rsidRPr="00083084">
        <w:rPr>
          <w:rFonts w:eastAsia="Times New Roman"/>
        </w:rPr>
        <w:t>1643</w:t>
      </w:r>
      <w:r>
        <w:rPr>
          <w:rFonts w:eastAsia="Times New Roman"/>
        </w:rPr>
        <w:t xml:space="preserve"> del </w:t>
      </w:r>
      <w:r w:rsidRPr="00083084">
        <w:rPr>
          <w:rFonts w:eastAsia="Times New Roman"/>
        </w:rPr>
        <w:t>28</w:t>
      </w:r>
      <w:r>
        <w:rPr>
          <w:rFonts w:eastAsia="Times New Roman"/>
        </w:rPr>
        <w:t>/</w:t>
      </w:r>
      <w:r w:rsidRPr="00083084">
        <w:rPr>
          <w:rFonts w:eastAsia="Times New Roman"/>
        </w:rPr>
        <w:t>12</w:t>
      </w:r>
      <w:r>
        <w:rPr>
          <w:rFonts w:eastAsia="Times New Roman"/>
        </w:rPr>
        <w:t>/</w:t>
      </w:r>
      <w:r w:rsidRPr="00083084">
        <w:rPr>
          <w:rFonts w:eastAsia="Times New Roman"/>
        </w:rPr>
        <w:t>2016</w:t>
      </w:r>
      <w:r>
        <w:rPr>
          <w:rFonts w:eastAsia="Times New Roman"/>
        </w:rPr>
        <w:t xml:space="preserve"> con la quale la regione Umbria ha quantificato il fabbisogno di risorse per l’autorizzazione delle domande regolarmente pervenute entro i termini del 27/12/2016 di cui alle DD 12806/2016 e DD 13491/2016, chiedendo al MLPS di destinare la parte residua al finanziamento di politiche attive di cui all’allegato piano;</w:t>
      </w:r>
    </w:p>
    <w:p w:rsidR="00676616" w:rsidRDefault="00676616" w:rsidP="00676616">
      <w:pPr>
        <w:rPr>
          <w:rFonts w:eastAsia="Times New Roman"/>
        </w:rPr>
      </w:pPr>
      <w:r w:rsidRPr="00083084">
        <w:rPr>
          <w:rFonts w:eastAsia="Times New Roman"/>
          <w:b/>
          <w:color w:val="000000"/>
          <w:lang w:eastAsia="en-US"/>
        </w:rPr>
        <w:t>Visto</w:t>
      </w:r>
      <w:r>
        <w:t xml:space="preserve"> il Decreto Interministeriale del 22/12/2016 trasmesso in data odierna che assegna alla Regione Umbria ulteriori fondi per gli ammortizzatori sociali in deroga pari ad euro 1.154.815, il 50% dei quali, pari ad euro 577.407, utilizzabili in deroga agli artt. 2 e 3 del  DI </w:t>
      </w:r>
      <w:r w:rsidRPr="001A2FC0">
        <w:rPr>
          <w:rFonts w:eastAsia="Times New Roman"/>
        </w:rPr>
        <w:t>. 83473 del 1 agosto 2014</w:t>
      </w:r>
      <w:r>
        <w:rPr>
          <w:rFonts w:eastAsia="Times New Roman"/>
        </w:rPr>
        <w:t>;</w:t>
      </w:r>
    </w:p>
    <w:p w:rsidR="00676616" w:rsidRPr="000D389C" w:rsidRDefault="00676616" w:rsidP="00676616">
      <w:pPr>
        <w:rPr>
          <w:rFonts w:eastAsia="Times New Roman"/>
          <w:color w:val="000000"/>
          <w:lang w:eastAsia="en-US"/>
        </w:rPr>
      </w:pPr>
      <w:r w:rsidRPr="009809F1">
        <w:rPr>
          <w:b/>
        </w:rPr>
        <w:t xml:space="preserve">Tenuto conto </w:t>
      </w:r>
      <w:r>
        <w:t>dell’esistenza di</w:t>
      </w:r>
      <w:r w:rsidRPr="000D389C">
        <w:t xml:space="preserve"> soggetti titolati all’invio telematico delle domande di AASSDD che non ha rispettato il termine di cui all</w:t>
      </w:r>
      <w:r>
        <w:t>e</w:t>
      </w:r>
      <w:r w:rsidRPr="000D389C">
        <w:t xml:space="preserve"> DD12806/2016</w:t>
      </w:r>
      <w:r>
        <w:t xml:space="preserve"> e </w:t>
      </w:r>
      <w:r>
        <w:rPr>
          <w:rFonts w:eastAsia="Times New Roman"/>
        </w:rPr>
        <w:t>DD 13491/2016</w:t>
      </w:r>
      <w:r w:rsidRPr="000D389C">
        <w:t>;</w:t>
      </w:r>
    </w:p>
    <w:p w:rsidR="00676616" w:rsidRDefault="00676616" w:rsidP="00676616">
      <w:r>
        <w:rPr>
          <w:b/>
          <w:bCs/>
        </w:rPr>
        <w:t xml:space="preserve">Considerato </w:t>
      </w:r>
      <w:r>
        <w:t>che con la sottoscrizione del presente atto se ne attesta la legittimità;</w:t>
      </w:r>
    </w:p>
    <w:p w:rsidR="00125EA0" w:rsidRDefault="00125EA0">
      <w:pPr>
        <w:spacing w:before="60"/>
        <w:jc w:val="center"/>
      </w:pPr>
    </w:p>
    <w:p w:rsidR="00125EA0" w:rsidRDefault="00125EA0">
      <w:pPr>
        <w:spacing w:before="60"/>
        <w:jc w:val="center"/>
        <w:rPr>
          <w:b/>
          <w:bCs/>
        </w:rPr>
      </w:pPr>
      <w:r>
        <w:rPr>
          <w:b/>
          <w:bCs/>
        </w:rPr>
        <w:t>Il Dirigente</w:t>
      </w:r>
    </w:p>
    <w:p w:rsidR="00125EA0" w:rsidRDefault="00125EA0">
      <w:pPr>
        <w:jc w:val="center"/>
        <w:rPr>
          <w:b/>
          <w:bCs/>
        </w:rPr>
      </w:pPr>
      <w:r>
        <w:rPr>
          <w:b/>
          <w:bCs/>
        </w:rPr>
        <w:t>D E T E R M I N A</w:t>
      </w:r>
    </w:p>
    <w:p w:rsidR="00676616" w:rsidRDefault="00676616" w:rsidP="00676616">
      <w:pPr>
        <w:spacing w:before="60"/>
        <w:jc w:val="center"/>
      </w:pPr>
    </w:p>
    <w:p w:rsidR="00676616" w:rsidRDefault="00676616" w:rsidP="002439E2">
      <w:pPr>
        <w:widowControl/>
        <w:numPr>
          <w:ilvl w:val="0"/>
          <w:numId w:val="1"/>
        </w:numPr>
        <w:autoSpaceDE/>
        <w:autoSpaceDN/>
        <w:spacing w:after="200" w:line="276" w:lineRule="auto"/>
        <w:contextualSpacing/>
      </w:pPr>
      <w:r w:rsidRPr="007466FE">
        <w:t xml:space="preserve">Di </w:t>
      </w:r>
      <w:r>
        <w:t xml:space="preserve">dare atto che la Giunta Regionale giusta </w:t>
      </w:r>
      <w:r>
        <w:rPr>
          <w:rFonts w:eastAsia="Times New Roman"/>
        </w:rPr>
        <w:t xml:space="preserve">DGR n. </w:t>
      </w:r>
      <w:r w:rsidRPr="00083084">
        <w:rPr>
          <w:rFonts w:eastAsia="Times New Roman"/>
        </w:rPr>
        <w:t>1643</w:t>
      </w:r>
      <w:r>
        <w:rPr>
          <w:rFonts w:eastAsia="Times New Roman"/>
        </w:rPr>
        <w:t xml:space="preserve"> del </w:t>
      </w:r>
      <w:r w:rsidRPr="00083084">
        <w:rPr>
          <w:rFonts w:eastAsia="Times New Roman"/>
        </w:rPr>
        <w:t>28</w:t>
      </w:r>
      <w:r>
        <w:rPr>
          <w:rFonts w:eastAsia="Times New Roman"/>
        </w:rPr>
        <w:t>/</w:t>
      </w:r>
      <w:r w:rsidRPr="00083084">
        <w:rPr>
          <w:rFonts w:eastAsia="Times New Roman"/>
        </w:rPr>
        <w:t>12</w:t>
      </w:r>
      <w:r>
        <w:rPr>
          <w:rFonts w:eastAsia="Times New Roman"/>
        </w:rPr>
        <w:t>/</w:t>
      </w:r>
      <w:r w:rsidRPr="00083084">
        <w:rPr>
          <w:rFonts w:eastAsia="Times New Roman"/>
        </w:rPr>
        <w:t>2016</w:t>
      </w:r>
      <w:r>
        <w:rPr>
          <w:rFonts w:eastAsia="Times New Roman"/>
        </w:rPr>
        <w:t xml:space="preserve"> ha quantificato il fabbisogno di risorse per l’autorizzazione delle domande regolarmente pervenute entro i termini del 27/12/2016 di cui alle DD 12806/2016 e DD 13491/2016, chiedendo al MLPS di destinare la parte residua al finanziamento di politiche attive dalla stessa programmate;</w:t>
      </w:r>
    </w:p>
    <w:p w:rsidR="00676616" w:rsidRDefault="00676616" w:rsidP="002439E2">
      <w:pPr>
        <w:widowControl/>
        <w:numPr>
          <w:ilvl w:val="0"/>
          <w:numId w:val="1"/>
        </w:numPr>
        <w:autoSpaceDE/>
        <w:autoSpaceDN/>
        <w:spacing w:after="200" w:line="276" w:lineRule="auto"/>
        <w:contextualSpacing/>
      </w:pPr>
      <w:r>
        <w:lastRenderedPageBreak/>
        <w:t xml:space="preserve">Di prendere atto DI del 22/12/2016 pervenuto alla Regione Umbria in data 29.12.2016 che assegna ulteriori  risorse per gli ammortizzatori sociali pari ad euro 1.154.815, il 50% dei quali, pari ad euro 577.407, utilizzabili in deroga agli artt. 2 e 3 del  DI </w:t>
      </w:r>
      <w:r w:rsidRPr="001A2FC0">
        <w:rPr>
          <w:rFonts w:eastAsia="Times New Roman"/>
        </w:rPr>
        <w:t>. 83473 del 1 agosto 2014</w:t>
      </w:r>
      <w:r>
        <w:rPr>
          <w:rFonts w:eastAsia="Times New Roman"/>
        </w:rPr>
        <w:t>;</w:t>
      </w:r>
    </w:p>
    <w:p w:rsidR="00676616" w:rsidRDefault="00676616" w:rsidP="002439E2">
      <w:pPr>
        <w:widowControl/>
        <w:numPr>
          <w:ilvl w:val="0"/>
          <w:numId w:val="1"/>
        </w:numPr>
        <w:autoSpaceDE/>
        <w:autoSpaceDN/>
        <w:spacing w:after="200" w:line="276" w:lineRule="auto"/>
        <w:contextualSpacing/>
      </w:pPr>
      <w:r>
        <w:t xml:space="preserve">Di riaprire i termini dalle ore 8 del 30.12.2016 fino alle ore 24 del 31.12.2016 per la  </w:t>
      </w:r>
      <w:r w:rsidRPr="007466FE">
        <w:t>presentazione di domande telematiche con il sistema SARe</w:t>
      </w:r>
      <w:r>
        <w:t>, per tutte le tipologie previste dalla DGR 1355/2016, ad esclusione della lett. I “</w:t>
      </w:r>
      <w:r w:rsidRPr="007600FA">
        <w:t>a seguito di cigs</w:t>
      </w:r>
      <w:r>
        <w:t xml:space="preserve">” il cui termine di presentazione era il 9/12/2016; </w:t>
      </w:r>
    </w:p>
    <w:p w:rsidR="00676616" w:rsidRDefault="00676616" w:rsidP="002439E2">
      <w:pPr>
        <w:widowControl/>
        <w:numPr>
          <w:ilvl w:val="0"/>
          <w:numId w:val="1"/>
        </w:numPr>
        <w:autoSpaceDE/>
        <w:autoSpaceDN/>
        <w:spacing w:after="200" w:line="276" w:lineRule="auto"/>
        <w:contextualSpacing/>
      </w:pPr>
      <w:r>
        <w:t>Di precisare che le domande che perverranno a seguito della riapertura di cui al precedente punto saranno autorizzate nei limiti delle disponibilità finanziarie;</w:t>
      </w:r>
    </w:p>
    <w:p w:rsidR="00676616" w:rsidRDefault="00676616" w:rsidP="002439E2">
      <w:pPr>
        <w:widowControl/>
        <w:numPr>
          <w:ilvl w:val="0"/>
          <w:numId w:val="1"/>
        </w:numPr>
        <w:autoSpaceDE/>
        <w:autoSpaceDN/>
        <w:spacing w:after="200" w:line="276" w:lineRule="auto"/>
        <w:contextualSpacing/>
      </w:pPr>
      <w:r>
        <w:t>Di dichiarare che l'atto è immediatamente efficace.</w:t>
      </w:r>
    </w:p>
    <w:p w:rsidR="00125EA0" w:rsidRDefault="00125EA0"/>
    <w:p w:rsidR="004D1579" w:rsidRPr="00B84C3E" w:rsidRDefault="004D1579" w:rsidP="00FA2C66">
      <w:pPr>
        <w:widowControl/>
        <w:tabs>
          <w:tab w:val="center" w:pos="2001"/>
        </w:tabs>
        <w:jc w:val="left"/>
        <w:rPr>
          <w:color w:val="000000"/>
        </w:rPr>
      </w:pPr>
    </w:p>
    <w:p w:rsidR="00B84C3E" w:rsidRPr="00FA2C66" w:rsidRDefault="00B84C3E" w:rsidP="00FA2C66">
      <w:pPr>
        <w:widowControl/>
        <w:tabs>
          <w:tab w:val="center" w:pos="2001"/>
        </w:tabs>
        <w:jc w:val="left"/>
        <w:rPr>
          <w:color w:val="000000"/>
        </w:rPr>
      </w:pPr>
    </w:p>
    <w:tbl>
      <w:tblPr>
        <w:tblW w:w="9072" w:type="dxa"/>
        <w:jc w:val="center"/>
        <w:tblLayout w:type="fixed"/>
        <w:tblCellMar>
          <w:left w:w="0" w:type="dxa"/>
          <w:right w:w="0" w:type="dxa"/>
        </w:tblCellMar>
        <w:tblLook w:val="0000"/>
      </w:tblPr>
      <w:tblGrid>
        <w:gridCol w:w="2344"/>
        <w:gridCol w:w="6728"/>
      </w:tblGrid>
      <w:tr w:rsidR="00484447">
        <w:tblPrEx>
          <w:tblCellMar>
            <w:top w:w="0" w:type="dxa"/>
            <w:left w:w="0" w:type="dxa"/>
            <w:bottom w:w="0" w:type="dxa"/>
            <w:right w:w="0" w:type="dxa"/>
          </w:tblCellMar>
        </w:tblPrEx>
        <w:trPr>
          <w:trHeight w:val="454"/>
          <w:jc w:val="center"/>
        </w:trPr>
        <w:tc>
          <w:tcPr>
            <w:tcW w:w="2518" w:type="dxa"/>
            <w:tcBorders>
              <w:top w:val="nil"/>
              <w:left w:val="nil"/>
              <w:bottom w:val="nil"/>
              <w:right w:val="nil"/>
            </w:tcBorders>
          </w:tcPr>
          <w:p w:rsidR="00484447" w:rsidRPr="00B56F50" w:rsidRDefault="004D657E">
            <w:pPr>
              <w:widowControl/>
              <w:tabs>
                <w:tab w:val="center" w:pos="2001"/>
              </w:tabs>
              <w:jc w:val="left"/>
              <w:rPr>
                <w:color w:val="000000"/>
              </w:rPr>
            </w:pPr>
            <w:r w:rsidRPr="004D657E">
              <w:rPr>
                <w:color w:val="000000"/>
              </w:rPr>
              <w:t>Perugia</w:t>
            </w:r>
            <w:r w:rsidR="00484447">
              <w:rPr>
                <w:color w:val="000000"/>
              </w:rPr>
              <w:t xml:space="preserve"> lì </w:t>
            </w:r>
            <w:r w:rsidR="00B56F50" w:rsidRPr="00B56F50">
              <w:rPr>
                <w:color w:val="000000"/>
              </w:rPr>
              <w:t>29/12/2016</w:t>
            </w:r>
          </w:p>
        </w:tc>
        <w:tc>
          <w:tcPr>
            <w:tcW w:w="7229" w:type="dxa"/>
            <w:tcBorders>
              <w:top w:val="nil"/>
              <w:left w:val="nil"/>
              <w:bottom w:val="nil"/>
              <w:right w:val="nil"/>
            </w:tcBorders>
          </w:tcPr>
          <w:p w:rsidR="001C4200" w:rsidRDefault="00484447">
            <w:pPr>
              <w:widowControl/>
              <w:tabs>
                <w:tab w:val="center" w:pos="2268"/>
                <w:tab w:val="center" w:pos="7655"/>
              </w:tabs>
              <w:jc w:val="center"/>
            </w:pPr>
            <w:r>
              <w:t>L’Istruttore</w:t>
            </w:r>
          </w:p>
          <w:p w:rsidR="00CC7C3F" w:rsidRPr="00B56F50" w:rsidRDefault="00B56F50">
            <w:pPr>
              <w:widowControl/>
              <w:tabs>
                <w:tab w:val="center" w:pos="2268"/>
                <w:tab w:val="center" w:pos="7655"/>
              </w:tabs>
              <w:jc w:val="center"/>
            </w:pPr>
            <w:r w:rsidRPr="00B56F50">
              <w:t>Paolo Sereni</w:t>
            </w:r>
          </w:p>
        </w:tc>
      </w:tr>
      <w:tr w:rsidR="00484447">
        <w:tblPrEx>
          <w:tblCellMar>
            <w:top w:w="0" w:type="dxa"/>
            <w:left w:w="0" w:type="dxa"/>
            <w:bottom w:w="0" w:type="dxa"/>
            <w:right w:w="0" w:type="dxa"/>
          </w:tblCellMar>
        </w:tblPrEx>
        <w:trPr>
          <w:trHeight w:val="454"/>
          <w:jc w:val="center"/>
        </w:trPr>
        <w:tc>
          <w:tcPr>
            <w:tcW w:w="2518" w:type="dxa"/>
            <w:tcBorders>
              <w:top w:val="nil"/>
              <w:left w:val="nil"/>
              <w:bottom w:val="nil"/>
              <w:right w:val="nil"/>
            </w:tcBorders>
          </w:tcPr>
          <w:p w:rsidR="00484447" w:rsidRDefault="00484447">
            <w:pPr>
              <w:widowControl/>
              <w:tabs>
                <w:tab w:val="left" w:pos="5812"/>
              </w:tabs>
              <w:ind w:right="142"/>
              <w:jc w:val="center"/>
            </w:pPr>
          </w:p>
        </w:tc>
        <w:tc>
          <w:tcPr>
            <w:tcW w:w="7229" w:type="dxa"/>
            <w:tcBorders>
              <w:top w:val="nil"/>
              <w:left w:val="nil"/>
              <w:bottom w:val="nil"/>
              <w:right w:val="nil"/>
            </w:tcBorders>
          </w:tcPr>
          <w:p w:rsidR="00484447" w:rsidRPr="00CC7C3F" w:rsidRDefault="00D8603C">
            <w:pPr>
              <w:widowControl/>
              <w:jc w:val="center"/>
              <w:rPr>
                <w:sz w:val="18"/>
                <w:szCs w:val="18"/>
              </w:rPr>
            </w:pPr>
            <w:r>
              <w:rPr>
                <w:sz w:val="18"/>
                <w:szCs w:val="18"/>
              </w:rPr>
              <w:t xml:space="preserve">Istruttoria firmata </w:t>
            </w:r>
            <w:r w:rsidR="001C4200" w:rsidRPr="00CC7C3F">
              <w:rPr>
                <w:sz w:val="18"/>
                <w:szCs w:val="18"/>
              </w:rPr>
              <w:t xml:space="preserve"> ai sensi dell’ art. 23-ter del Codice dell’Amministrazione digitale</w:t>
            </w:r>
          </w:p>
        </w:tc>
      </w:tr>
    </w:tbl>
    <w:p w:rsidR="00484447" w:rsidRDefault="00484447">
      <w:pPr>
        <w:widowControl/>
        <w:jc w:val="left"/>
      </w:pPr>
    </w:p>
    <w:p w:rsidR="00DE1922" w:rsidRPr="00745AC1" w:rsidRDefault="00DE1922" w:rsidP="00FA2C66">
      <w:pPr>
        <w:widowControl/>
        <w:tabs>
          <w:tab w:val="center" w:pos="2001"/>
        </w:tabs>
        <w:jc w:val="left"/>
        <w:rPr>
          <w:color w:val="000000"/>
        </w:rPr>
      </w:pPr>
    </w:p>
    <w:p w:rsidR="00745AC1" w:rsidRPr="00DE1922" w:rsidRDefault="00745AC1" w:rsidP="00FA2C66">
      <w:pPr>
        <w:widowControl/>
        <w:tabs>
          <w:tab w:val="center" w:pos="2001"/>
        </w:tabs>
        <w:jc w:val="left"/>
        <w:rPr>
          <w:color w:val="000000"/>
        </w:rPr>
      </w:pPr>
    </w:p>
    <w:tbl>
      <w:tblPr>
        <w:tblW w:w="9092" w:type="dxa"/>
        <w:jc w:val="center"/>
        <w:tblLayout w:type="fixed"/>
        <w:tblCellMar>
          <w:left w:w="0" w:type="dxa"/>
          <w:right w:w="0" w:type="dxa"/>
        </w:tblCellMar>
        <w:tblLook w:val="0000"/>
      </w:tblPr>
      <w:tblGrid>
        <w:gridCol w:w="2431"/>
        <w:gridCol w:w="6661"/>
      </w:tblGrid>
      <w:tr w:rsidR="00484447">
        <w:tblPrEx>
          <w:tblCellMar>
            <w:top w:w="0" w:type="dxa"/>
            <w:left w:w="0" w:type="dxa"/>
            <w:bottom w:w="0" w:type="dxa"/>
            <w:right w:w="0" w:type="dxa"/>
          </w:tblCellMar>
        </w:tblPrEx>
        <w:trPr>
          <w:trHeight w:val="454"/>
          <w:jc w:val="center"/>
        </w:trPr>
        <w:tc>
          <w:tcPr>
            <w:tcW w:w="2431" w:type="dxa"/>
            <w:tcBorders>
              <w:top w:val="nil"/>
              <w:left w:val="nil"/>
              <w:bottom w:val="nil"/>
              <w:right w:val="nil"/>
            </w:tcBorders>
          </w:tcPr>
          <w:p w:rsidR="00484447" w:rsidRPr="00DE1922" w:rsidRDefault="00886356">
            <w:pPr>
              <w:widowControl/>
              <w:tabs>
                <w:tab w:val="center" w:pos="2001"/>
              </w:tabs>
              <w:jc w:val="left"/>
              <w:rPr>
                <w:color w:val="000000"/>
              </w:rPr>
            </w:pPr>
            <w:r w:rsidRPr="00886356">
              <w:rPr>
                <w:color w:val="000000"/>
              </w:rPr>
              <w:t>Perugia</w:t>
            </w:r>
            <w:r w:rsidR="00484447">
              <w:rPr>
                <w:color w:val="000000"/>
              </w:rPr>
              <w:t xml:space="preserve"> lì </w:t>
            </w:r>
            <w:r w:rsidR="00DE1922" w:rsidRPr="00DE1922">
              <w:rPr>
                <w:color w:val="000000"/>
              </w:rPr>
              <w:t>29/12/2016</w:t>
            </w:r>
          </w:p>
        </w:tc>
        <w:tc>
          <w:tcPr>
            <w:tcW w:w="6661" w:type="dxa"/>
            <w:tcBorders>
              <w:top w:val="nil"/>
              <w:left w:val="nil"/>
              <w:bottom w:val="nil"/>
              <w:right w:val="nil"/>
            </w:tcBorders>
            <w:vAlign w:val="center"/>
          </w:tcPr>
          <w:p w:rsidR="00061E2D" w:rsidRDefault="00061E2D" w:rsidP="00061E2D">
            <w:pPr>
              <w:tabs>
                <w:tab w:val="center" w:pos="1418"/>
                <w:tab w:val="center" w:pos="7655"/>
              </w:tabs>
              <w:jc w:val="center"/>
            </w:pPr>
            <w:r>
              <w:t>Si attesta la regolarità tecnica e amministrativa</w:t>
            </w:r>
          </w:p>
          <w:p w:rsidR="007A6D08" w:rsidRDefault="00061E2D" w:rsidP="00061E2D">
            <w:pPr>
              <w:widowControl/>
              <w:tabs>
                <w:tab w:val="center" w:pos="2268"/>
                <w:tab w:val="center" w:pos="7655"/>
              </w:tabs>
              <w:jc w:val="center"/>
            </w:pPr>
            <w:r>
              <w:t>Il Responsabile</w:t>
            </w:r>
          </w:p>
          <w:p w:rsidR="00CC7C3F" w:rsidRPr="00DE1922" w:rsidRDefault="007A6D08" w:rsidP="00061E2D">
            <w:pPr>
              <w:widowControl/>
              <w:tabs>
                <w:tab w:val="center" w:pos="2268"/>
                <w:tab w:val="center" w:pos="7655"/>
              </w:tabs>
              <w:jc w:val="center"/>
            </w:pPr>
            <w:r w:rsidRPr="00DE1922">
              <w:t>Paolo Sereni</w:t>
            </w:r>
          </w:p>
        </w:tc>
      </w:tr>
      <w:tr w:rsidR="00484447" w:rsidTr="007A6D08">
        <w:tblPrEx>
          <w:tblCellMar>
            <w:top w:w="0" w:type="dxa"/>
            <w:left w:w="0" w:type="dxa"/>
            <w:bottom w:w="0" w:type="dxa"/>
            <w:right w:w="0" w:type="dxa"/>
          </w:tblCellMar>
        </w:tblPrEx>
        <w:trPr>
          <w:trHeight w:val="454"/>
          <w:jc w:val="center"/>
        </w:trPr>
        <w:tc>
          <w:tcPr>
            <w:tcW w:w="2431" w:type="dxa"/>
            <w:tcBorders>
              <w:top w:val="nil"/>
              <w:left w:val="nil"/>
              <w:bottom w:val="nil"/>
              <w:right w:val="nil"/>
            </w:tcBorders>
            <w:vAlign w:val="center"/>
          </w:tcPr>
          <w:p w:rsidR="00484447" w:rsidRDefault="00484447" w:rsidP="0068217C">
            <w:pPr>
              <w:widowControl/>
              <w:tabs>
                <w:tab w:val="left" w:pos="5812"/>
              </w:tabs>
              <w:ind w:right="142"/>
              <w:jc w:val="center"/>
            </w:pPr>
          </w:p>
        </w:tc>
        <w:tc>
          <w:tcPr>
            <w:tcW w:w="6661" w:type="dxa"/>
            <w:tcBorders>
              <w:top w:val="nil"/>
              <w:left w:val="nil"/>
              <w:bottom w:val="nil"/>
              <w:right w:val="nil"/>
            </w:tcBorders>
          </w:tcPr>
          <w:p w:rsidR="00484447" w:rsidRPr="00CC7C3F" w:rsidRDefault="00061E2D" w:rsidP="007A6D08">
            <w:pPr>
              <w:widowControl/>
              <w:jc w:val="center"/>
              <w:rPr>
                <w:sz w:val="18"/>
                <w:szCs w:val="18"/>
              </w:rPr>
            </w:pPr>
            <w:r>
              <w:rPr>
                <w:sz w:val="18"/>
                <w:szCs w:val="18"/>
              </w:rPr>
              <w:t>Parere apposto</w:t>
            </w:r>
            <w:r w:rsidR="0068217C">
              <w:rPr>
                <w:sz w:val="18"/>
                <w:szCs w:val="18"/>
              </w:rPr>
              <w:t xml:space="preserve"> ai sensi </w:t>
            </w:r>
            <w:r w:rsidR="001C4200" w:rsidRPr="00CC7C3F">
              <w:rPr>
                <w:sz w:val="18"/>
                <w:szCs w:val="18"/>
              </w:rPr>
              <w:t>dell’ art. 23-ter del Codice dell’Amministrazione digitale</w:t>
            </w:r>
          </w:p>
        </w:tc>
      </w:tr>
    </w:tbl>
    <w:p w:rsidR="00257AD2" w:rsidRDefault="00257AD2">
      <w:pPr>
        <w:widowControl/>
        <w:jc w:val="left"/>
      </w:pPr>
    </w:p>
    <w:p w:rsidR="00A2184F" w:rsidRDefault="00A2184F">
      <w:pPr>
        <w:widowControl/>
        <w:autoSpaceDE/>
        <w:autoSpaceDN/>
        <w:jc w:val="left"/>
      </w:pPr>
    </w:p>
    <w:p w:rsidR="00A2184F" w:rsidRDefault="00A2184F">
      <w:pPr>
        <w:widowControl/>
        <w:autoSpaceDE/>
        <w:autoSpaceDN/>
        <w:jc w:val="left"/>
      </w:pPr>
    </w:p>
    <w:p w:rsidR="00BC137C" w:rsidRPr="00BF586F" w:rsidRDefault="00BF586F">
      <w:pPr>
        <w:widowControl/>
        <w:autoSpaceDE/>
        <w:autoSpaceDN/>
        <w:jc w:val="left"/>
      </w:pPr>
      <w:r w:rsidRPr="00BF586F">
        <w:t xml:space="preserve"> </w:t>
      </w:r>
    </w:p>
    <w:p w:rsidR="00BC137C" w:rsidRPr="00FA2C66" w:rsidRDefault="00BC137C" w:rsidP="00BC137C">
      <w:pPr>
        <w:widowControl/>
        <w:tabs>
          <w:tab w:val="center" w:pos="2001"/>
        </w:tabs>
        <w:autoSpaceDE/>
        <w:autoSpaceDN/>
        <w:jc w:val="left"/>
        <w:rPr>
          <w:color w:val="000000"/>
        </w:rPr>
      </w:pPr>
    </w:p>
    <w:tbl>
      <w:tblPr>
        <w:tblW w:w="9072" w:type="dxa"/>
        <w:jc w:val="center"/>
        <w:tblLayout w:type="fixed"/>
        <w:tblCellMar>
          <w:left w:w="0" w:type="dxa"/>
          <w:right w:w="0" w:type="dxa"/>
        </w:tblCellMar>
        <w:tblLook w:val="0000"/>
      </w:tblPr>
      <w:tblGrid>
        <w:gridCol w:w="2344"/>
        <w:gridCol w:w="6728"/>
      </w:tblGrid>
      <w:tr w:rsidR="00BC137C">
        <w:tblPrEx>
          <w:tblCellMar>
            <w:top w:w="0" w:type="dxa"/>
            <w:left w:w="0" w:type="dxa"/>
            <w:bottom w:w="0" w:type="dxa"/>
            <w:right w:w="0" w:type="dxa"/>
          </w:tblCellMar>
        </w:tblPrEx>
        <w:trPr>
          <w:trHeight w:val="454"/>
          <w:jc w:val="center"/>
        </w:trPr>
        <w:tc>
          <w:tcPr>
            <w:tcW w:w="2518" w:type="dxa"/>
            <w:tcBorders>
              <w:top w:val="nil"/>
              <w:left w:val="nil"/>
              <w:bottom w:val="nil"/>
              <w:right w:val="nil"/>
            </w:tcBorders>
          </w:tcPr>
          <w:p w:rsidR="00BC137C" w:rsidRPr="00BC137C" w:rsidRDefault="00ED2337" w:rsidP="008E0E29">
            <w:pPr>
              <w:widowControl/>
              <w:tabs>
                <w:tab w:val="center" w:pos="2001"/>
              </w:tabs>
              <w:autoSpaceDE/>
              <w:autoSpaceDN/>
              <w:jc w:val="left"/>
              <w:rPr>
                <w:color w:val="000000"/>
              </w:rPr>
            </w:pPr>
            <w:r w:rsidRPr="00ED2337">
              <w:rPr>
                <w:color w:val="000000"/>
              </w:rPr>
              <w:t>Perugia</w:t>
            </w:r>
            <w:r>
              <w:rPr>
                <w:color w:val="000000"/>
              </w:rPr>
              <w:t xml:space="preserve"> </w:t>
            </w:r>
            <w:r w:rsidR="00BC137C">
              <w:rPr>
                <w:color w:val="000000"/>
              </w:rPr>
              <w:t xml:space="preserve">lì </w:t>
            </w:r>
            <w:r w:rsidR="00BC137C" w:rsidRPr="00BC137C">
              <w:rPr>
                <w:color w:val="000000"/>
              </w:rPr>
              <w:t>30/12/2016</w:t>
            </w:r>
          </w:p>
        </w:tc>
        <w:tc>
          <w:tcPr>
            <w:tcW w:w="7229" w:type="dxa"/>
            <w:tcBorders>
              <w:top w:val="nil"/>
              <w:left w:val="nil"/>
              <w:bottom w:val="nil"/>
              <w:right w:val="nil"/>
            </w:tcBorders>
          </w:tcPr>
          <w:p w:rsidR="00BC137C" w:rsidRPr="003B31E1" w:rsidRDefault="00415FCC" w:rsidP="008E0E29">
            <w:pPr>
              <w:widowControl/>
              <w:tabs>
                <w:tab w:val="center" w:pos="2268"/>
                <w:tab w:val="center" w:pos="7655"/>
              </w:tabs>
              <w:autoSpaceDE/>
              <w:autoSpaceDN/>
              <w:jc w:val="center"/>
            </w:pPr>
            <w:r>
              <w:t xml:space="preserve">Il </w:t>
            </w:r>
            <w:r w:rsidRPr="00ED2337">
              <w:t>Dirigente</w:t>
            </w:r>
            <w:r w:rsidR="003B31E1">
              <w:t xml:space="preserve"> </w:t>
            </w:r>
          </w:p>
          <w:p w:rsidR="00BC137C" w:rsidRPr="006D40AD" w:rsidRDefault="00415FCC" w:rsidP="008E0E29">
            <w:pPr>
              <w:widowControl/>
              <w:tabs>
                <w:tab w:val="center" w:pos="2268"/>
                <w:tab w:val="center" w:pos="7655"/>
              </w:tabs>
              <w:autoSpaceDE/>
              <w:autoSpaceDN/>
              <w:jc w:val="center"/>
            </w:pPr>
            <w:r w:rsidRPr="00415FCC">
              <w:t>- Adriano Bei</w:t>
            </w:r>
          </w:p>
        </w:tc>
      </w:tr>
      <w:tr w:rsidR="00BC137C">
        <w:tblPrEx>
          <w:tblCellMar>
            <w:top w:w="0" w:type="dxa"/>
            <w:left w:w="0" w:type="dxa"/>
            <w:bottom w:w="0" w:type="dxa"/>
            <w:right w:w="0" w:type="dxa"/>
          </w:tblCellMar>
        </w:tblPrEx>
        <w:trPr>
          <w:trHeight w:val="454"/>
          <w:jc w:val="center"/>
        </w:trPr>
        <w:tc>
          <w:tcPr>
            <w:tcW w:w="2518" w:type="dxa"/>
            <w:tcBorders>
              <w:top w:val="nil"/>
              <w:left w:val="nil"/>
              <w:bottom w:val="nil"/>
              <w:right w:val="nil"/>
            </w:tcBorders>
          </w:tcPr>
          <w:p w:rsidR="00BC137C" w:rsidRDefault="00BC137C" w:rsidP="008E0E29">
            <w:pPr>
              <w:widowControl/>
              <w:tabs>
                <w:tab w:val="left" w:pos="5812"/>
              </w:tabs>
              <w:autoSpaceDE/>
              <w:autoSpaceDN/>
              <w:ind w:right="142"/>
              <w:jc w:val="center"/>
            </w:pPr>
          </w:p>
        </w:tc>
        <w:tc>
          <w:tcPr>
            <w:tcW w:w="7229" w:type="dxa"/>
            <w:tcBorders>
              <w:top w:val="nil"/>
              <w:left w:val="nil"/>
              <w:bottom w:val="nil"/>
              <w:right w:val="nil"/>
            </w:tcBorders>
          </w:tcPr>
          <w:p w:rsidR="00BC137C" w:rsidRPr="00032A7D" w:rsidRDefault="00032A7D" w:rsidP="00453068">
            <w:pPr>
              <w:widowControl/>
              <w:autoSpaceDE/>
              <w:autoSpaceDN/>
              <w:jc w:val="center"/>
              <w:rPr>
                <w:sz w:val="16"/>
                <w:szCs w:val="16"/>
              </w:rPr>
            </w:pPr>
            <w:r w:rsidRPr="00032A7D">
              <w:rPr>
                <w:sz w:val="16"/>
                <w:szCs w:val="16"/>
              </w:rPr>
              <w:t>Documento f</w:t>
            </w:r>
            <w:r w:rsidR="00BC137C" w:rsidRPr="00032A7D">
              <w:rPr>
                <w:sz w:val="16"/>
                <w:szCs w:val="16"/>
              </w:rPr>
              <w:t xml:space="preserve">irmato </w:t>
            </w:r>
            <w:r w:rsidRPr="00032A7D">
              <w:rPr>
                <w:sz w:val="16"/>
                <w:szCs w:val="16"/>
              </w:rPr>
              <w:t>digitalmente</w:t>
            </w:r>
            <w:r w:rsidR="00BC137C" w:rsidRPr="00032A7D">
              <w:rPr>
                <w:sz w:val="16"/>
                <w:szCs w:val="16"/>
              </w:rPr>
              <w:t xml:space="preserve"> ai sensi de</w:t>
            </w:r>
            <w:r w:rsidR="00453068">
              <w:rPr>
                <w:sz w:val="16"/>
                <w:szCs w:val="16"/>
              </w:rPr>
              <w:t>l d.l</w:t>
            </w:r>
            <w:r w:rsidRPr="00032A7D">
              <w:rPr>
                <w:sz w:val="16"/>
                <w:szCs w:val="16"/>
              </w:rPr>
              <w:t>gs. 7 marzo 2005, n.</w:t>
            </w:r>
            <w:r w:rsidR="00453068">
              <w:rPr>
                <w:sz w:val="16"/>
                <w:szCs w:val="16"/>
              </w:rPr>
              <w:t xml:space="preserve"> </w:t>
            </w:r>
            <w:r w:rsidRPr="00032A7D">
              <w:rPr>
                <w:sz w:val="16"/>
                <w:szCs w:val="16"/>
              </w:rPr>
              <w:t>82, art. 2</w:t>
            </w:r>
            <w:r w:rsidR="00782A3F">
              <w:rPr>
                <w:sz w:val="16"/>
                <w:szCs w:val="16"/>
              </w:rPr>
              <w:t>1</w:t>
            </w:r>
            <w:r w:rsidRPr="00032A7D">
              <w:rPr>
                <w:sz w:val="16"/>
                <w:szCs w:val="16"/>
              </w:rPr>
              <w:t xml:space="preserve"> comma 2</w:t>
            </w:r>
          </w:p>
        </w:tc>
      </w:tr>
    </w:tbl>
    <w:p w:rsidR="00BC137C" w:rsidRDefault="00BC137C" w:rsidP="00BC137C">
      <w:pPr>
        <w:widowControl/>
        <w:autoSpaceDE/>
        <w:autoSpaceDN/>
        <w:jc w:val="left"/>
      </w:pPr>
    </w:p>
    <w:p w:rsidR="00BC137C" w:rsidRPr="00860AA3" w:rsidRDefault="00BC137C">
      <w:pPr>
        <w:widowControl/>
        <w:autoSpaceDE/>
        <w:autoSpaceDN/>
        <w:jc w:val="left"/>
      </w:pPr>
    </w:p>
    <w:sectPr w:rsidR="00BC137C" w:rsidRPr="00860AA3" w:rsidSect="00782A3F">
      <w:headerReference w:type="default" r:id="rId8"/>
      <w:footerReference w:type="default" r:id="rId9"/>
      <w:headerReference w:type="first" r:id="rId10"/>
      <w:footerReference w:type="first" r:id="rId11"/>
      <w:pgSz w:w="11907" w:h="16840" w:code="9"/>
      <w:pgMar w:top="1418" w:right="1418" w:bottom="1418"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E1C" w:rsidRDefault="008A5E1C">
      <w:pPr>
        <w:rPr>
          <w:rFonts w:ascii="Times New Roman" w:hAnsi="Times New Roman" w:cs="Times New Roman"/>
        </w:rPr>
      </w:pPr>
      <w:r>
        <w:rPr>
          <w:rFonts w:ascii="Times New Roman" w:hAnsi="Times New Roman" w:cs="Times New Roman"/>
        </w:rPr>
        <w:separator/>
      </w:r>
    </w:p>
  </w:endnote>
  <w:endnote w:type="continuationSeparator" w:id="1">
    <w:p w:rsidR="008A5E1C" w:rsidRDefault="008A5E1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20002A87" w:usb1="80000000" w:usb2="00000008"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Univers">
    <w:altName w:val="Arial"/>
    <w:panose1 w:val="020B0603020202030204"/>
    <w:charset w:val="00"/>
    <w:family w:val="swiss"/>
    <w:pitch w:val="variable"/>
    <w:sig w:usb0="00000287" w:usb1="00000000" w:usb2="00000000" w:usb3="00000000" w:csb0="0000009F" w:csb1="00000000"/>
  </w:font>
  <w:font w:name="Bodoni BT">
    <w:altName w:val="Bodoni M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A0" w:rsidRDefault="00125EA0">
    <w:pPr>
      <w:tabs>
        <w:tab w:val="left" w:pos="2552"/>
        <w:tab w:val="center" w:pos="4535"/>
        <w:tab w:val="right" w:pos="9070"/>
      </w:tabs>
      <w:rPr>
        <w:sz w:val="16"/>
        <w:szCs w:val="16"/>
      </w:rPr>
    </w:pPr>
    <w:r>
      <w:rPr>
        <w:sz w:val="16"/>
        <w:szCs w:val="16"/>
      </w:rPr>
      <w:t>segue atto n. 13714</w:t>
    </w:r>
    <w:r>
      <w:rPr>
        <w:sz w:val="16"/>
        <w:szCs w:val="16"/>
      </w:rPr>
      <w:tab/>
      <w:t xml:space="preserve"> del 30/12/2016</w:t>
    </w:r>
    <w:r>
      <w:rPr>
        <w:sz w:val="16"/>
        <w:szCs w:val="16"/>
      </w:rPr>
      <w:tab/>
    </w:r>
    <w:r>
      <w:rPr>
        <w:sz w:val="16"/>
        <w:szCs w:val="16"/>
      </w:rPr>
      <w:tab/>
    </w:r>
    <w:r>
      <w:rPr>
        <w:sz w:val="16"/>
        <w:szCs w:val="16"/>
      </w:rPr>
      <w:fldChar w:fldCharType="begin"/>
    </w:r>
    <w:r>
      <w:rPr>
        <w:sz w:val="16"/>
        <w:szCs w:val="16"/>
      </w:rPr>
      <w:instrText xml:space="preserve"> PAGE  \* ARABIC  \* MERGEFORMAT </w:instrText>
    </w:r>
    <w:r>
      <w:rPr>
        <w:sz w:val="16"/>
        <w:szCs w:val="16"/>
      </w:rPr>
      <w:fldChar w:fldCharType="separate"/>
    </w:r>
    <w:r w:rsidR="00C0762D">
      <w:rPr>
        <w:noProof/>
        <w:sz w:val="16"/>
        <w:szCs w:val="16"/>
      </w:rPr>
      <w:t>1</w:t>
    </w:r>
    <w:r>
      <w:rPr>
        <w:sz w:val="16"/>
        <w:szCs w:val="16"/>
      </w:rPr>
      <w:fldChar w:fldCharType="end"/>
    </w:r>
    <w:r>
      <w:rPr>
        <w:sz w:val="16"/>
        <w:szCs w:val="16"/>
      </w:rPr>
      <w:fldChar w:fldCharType="begin"/>
    </w:r>
    <w:r>
      <w:rPr>
        <w:sz w:val="16"/>
        <w:szCs w:val="16"/>
      </w:rPr>
      <w:instrText>\page\* ARABIC</w:instrText>
    </w:r>
    <w:r>
      <w:rPr>
        <w:sz w:val="16"/>
        <w:szCs w:val="16"/>
      </w:rPr>
      <w:fldChar w:fldCharType="separate"/>
    </w:r>
    <w:r>
      <w:rPr>
        <w:sz w:val="16"/>
        <w:szCs w:val="16"/>
      </w:rPr>
      <w:t>3</w:t>
    </w:r>
    <w:r>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A0" w:rsidRDefault="00125EA0">
    <w:pPr>
      <w:tabs>
        <w:tab w:val="center" w:pos="4535"/>
        <w:tab w:val="right" w:pos="9070"/>
      </w:tabs>
      <w:rPr>
        <w:sz w:val="16"/>
        <w:szCs w:val="16"/>
      </w:rPr>
    </w:pPr>
    <w:r>
      <w:tab/>
    </w:r>
    <w:r>
      <w:tab/>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sidR="00471F4B">
      <w:rPr>
        <w:rFonts w:ascii="Times New Roman" w:hAnsi="Times New Roman" w:cs="Times New Roman"/>
        <w:noProof/>
        <w:sz w:val="16"/>
        <w:szCs w:val="16"/>
      </w:rPr>
      <w:t>1</w:t>
    </w:r>
    <w:r>
      <w:rPr>
        <w:rFonts w:ascii="Times New Roman" w:hAnsi="Times New Roman" w:cs="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E1C" w:rsidRDefault="008A5E1C">
      <w:pPr>
        <w:rPr>
          <w:rFonts w:ascii="Times New Roman" w:hAnsi="Times New Roman" w:cs="Times New Roman"/>
        </w:rPr>
      </w:pPr>
      <w:r>
        <w:rPr>
          <w:rFonts w:ascii="Times New Roman" w:hAnsi="Times New Roman" w:cs="Times New Roman"/>
        </w:rPr>
        <w:separator/>
      </w:r>
    </w:p>
  </w:footnote>
  <w:footnote w:type="continuationSeparator" w:id="1">
    <w:p w:rsidR="008A5E1C" w:rsidRDefault="008A5E1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A0" w:rsidRDefault="00125EA0">
    <w:pPr>
      <w:tabs>
        <w:tab w:val="center" w:pos="4819"/>
        <w:tab w:val="right" w:pos="9638"/>
      </w:tabs>
      <w:rPr>
        <w:rFonts w:ascii="Times New Roman" w:hAnsi="Times New Roman" w:cs="Times New Roman"/>
        <w:sz w:val="20"/>
        <w:szCs w:val="20"/>
      </w:rPr>
    </w:pPr>
    <w:r>
      <w:rPr>
        <w:sz w:val="12"/>
        <w:szCs w:val="12"/>
      </w:rPr>
      <w:t>COD. PRATICA: 2016-002-15309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A0" w:rsidRDefault="00125EA0">
    <w:pPr>
      <w:tabs>
        <w:tab w:val="center" w:pos="4536"/>
        <w:tab w:val="right" w:pos="9072"/>
      </w:tabs>
    </w:pPr>
    <w:r>
      <w:rPr>
        <w:sz w:val="12"/>
        <w:szCs w:val="12"/>
      </w:rPr>
      <w:t>CODPRAT: 2016-002-15309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97E7070"/>
    <w:name w:val="RTF_Num 2"/>
    <w:lvl w:ilvl="0">
      <w:start w:val="1"/>
      <w:numFmt w:val="decimal"/>
      <w:lvlText w:val="%1."/>
      <w:lvlJc w:val="left"/>
      <w:pPr>
        <w:ind w:left="786"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1">
    <w:nsid w:val="152C7DE1"/>
    <w:multiLevelType w:val="multilevel"/>
    <w:tmpl w:val="E1E6CEFC"/>
    <w:name w:val="RTF_Num 2222"/>
    <w:lvl w:ilvl="0">
      <w:start w:val="6"/>
      <w:numFmt w:val="decimal"/>
      <w:lvlText w:val="%1."/>
      <w:lvlJc w:val="left"/>
      <w:pPr>
        <w:ind w:left="644"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2">
    <w:nsid w:val="16C110C9"/>
    <w:multiLevelType w:val="multilevel"/>
    <w:tmpl w:val="1DCECAFE"/>
    <w:name w:val="RTF_Num 22"/>
    <w:lvl w:ilvl="0">
      <w:start w:val="2"/>
      <w:numFmt w:val="decimal"/>
      <w:lvlText w:val="%1."/>
      <w:lvlJc w:val="left"/>
      <w:pPr>
        <w:ind w:left="644"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3">
    <w:nsid w:val="4AA13F3C"/>
    <w:multiLevelType w:val="multilevel"/>
    <w:tmpl w:val="1C06715E"/>
    <w:name w:val="RTF_Num 223"/>
    <w:lvl w:ilvl="0">
      <w:start w:val="2"/>
      <w:numFmt w:val="decimal"/>
      <w:lvlText w:val="%1."/>
      <w:lvlJc w:val="left"/>
      <w:pPr>
        <w:ind w:left="644" w:hanging="360"/>
      </w:pPr>
      <w:rPr>
        <w:rFonts w:ascii="Arial" w:hAnsi="Arial" w:cs="Arial" w:hint="default"/>
        <w:sz w:val="22"/>
        <w:szCs w:val="22"/>
      </w:rPr>
    </w:lvl>
    <w:lvl w:ilvl="1">
      <w:start w:val="1"/>
      <w:numFmt w:val="bullet"/>
      <w:lvlText w:val=""/>
      <w:lvlJc w:val="left"/>
      <w:pPr>
        <w:ind w:left="1440" w:hanging="360"/>
      </w:pPr>
      <w:rPr>
        <w:rFonts w:ascii="Symbol" w:hAnsi="Symbol" w:hint="default"/>
        <w:sz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4">
    <w:nsid w:val="68FE1588"/>
    <w:multiLevelType w:val="hybridMultilevel"/>
    <w:tmpl w:val="7280FA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70C4565D"/>
    <w:multiLevelType w:val="multilevel"/>
    <w:tmpl w:val="7B8C2408"/>
    <w:name w:val="RTF_Num 222"/>
    <w:lvl w:ilvl="0">
      <w:start w:val="2"/>
      <w:numFmt w:val="decimal"/>
      <w:lvlText w:val="%1."/>
      <w:lvlJc w:val="left"/>
      <w:pPr>
        <w:ind w:left="644"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6">
    <w:nsid w:val="724A44CD"/>
    <w:multiLevelType w:val="multilevel"/>
    <w:tmpl w:val="449EB0DE"/>
    <w:name w:val="RTF_Num 224"/>
    <w:lvl w:ilvl="0">
      <w:start w:val="2"/>
      <w:numFmt w:val="decimal"/>
      <w:lvlText w:val="%1."/>
      <w:lvlJc w:val="left"/>
      <w:pPr>
        <w:ind w:left="644" w:hanging="360"/>
      </w:pPr>
      <w:rPr>
        <w:rFonts w:ascii="Arial" w:hAnsi="Arial" w:cs="Arial" w:hint="default"/>
        <w:sz w:val="22"/>
        <w:szCs w:val="22"/>
      </w:rPr>
    </w:lvl>
    <w:lvl w:ilvl="1">
      <w:start w:val="1"/>
      <w:numFmt w:val="bullet"/>
      <w:lvlText w:val=""/>
      <w:lvlJc w:val="left"/>
      <w:pPr>
        <w:ind w:left="1440" w:hanging="360"/>
      </w:pPr>
      <w:rPr>
        <w:rFonts w:ascii="Symbol" w:hAnsi="Symbol" w:hint="default"/>
        <w:sz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num w:numId="1">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FELayout/>
  </w:compat>
  <w:rsids>
    <w:rsidRoot w:val="00EA2AF4"/>
    <w:rsid w:val="00032A7D"/>
    <w:rsid w:val="00061E2D"/>
    <w:rsid w:val="00083084"/>
    <w:rsid w:val="000D389C"/>
    <w:rsid w:val="00125EA0"/>
    <w:rsid w:val="001A2FC0"/>
    <w:rsid w:val="001C4200"/>
    <w:rsid w:val="00216D0D"/>
    <w:rsid w:val="002439E2"/>
    <w:rsid w:val="00257AD2"/>
    <w:rsid w:val="002E4159"/>
    <w:rsid w:val="00385A8D"/>
    <w:rsid w:val="003B31E1"/>
    <w:rsid w:val="00415FCC"/>
    <w:rsid w:val="00453068"/>
    <w:rsid w:val="00471F4B"/>
    <w:rsid w:val="00484447"/>
    <w:rsid w:val="004D1579"/>
    <w:rsid w:val="004D657E"/>
    <w:rsid w:val="0066655E"/>
    <w:rsid w:val="00676616"/>
    <w:rsid w:val="0068217C"/>
    <w:rsid w:val="006D40AD"/>
    <w:rsid w:val="00745AC1"/>
    <w:rsid w:val="007466FE"/>
    <w:rsid w:val="007600FA"/>
    <w:rsid w:val="00781664"/>
    <w:rsid w:val="00782A3F"/>
    <w:rsid w:val="007A6D08"/>
    <w:rsid w:val="00825813"/>
    <w:rsid w:val="00860AA3"/>
    <w:rsid w:val="00886356"/>
    <w:rsid w:val="008A5E1C"/>
    <w:rsid w:val="008E0E29"/>
    <w:rsid w:val="009809F1"/>
    <w:rsid w:val="00A2184F"/>
    <w:rsid w:val="00A45BEB"/>
    <w:rsid w:val="00B56F50"/>
    <w:rsid w:val="00B84C3E"/>
    <w:rsid w:val="00BC137C"/>
    <w:rsid w:val="00BF586F"/>
    <w:rsid w:val="00C0762D"/>
    <w:rsid w:val="00C4676C"/>
    <w:rsid w:val="00CC7C3F"/>
    <w:rsid w:val="00D8603C"/>
    <w:rsid w:val="00DE1922"/>
    <w:rsid w:val="00DE3802"/>
    <w:rsid w:val="00EA2AF4"/>
    <w:rsid w:val="00ED2337"/>
    <w:rsid w:val="00FA2C66"/>
    <w:rsid w:val="00FC48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spacing w:after="0" w:line="240" w:lineRule="auto"/>
      <w:jc w:val="both"/>
    </w:pPr>
    <w:rPr>
      <w:rFonts w:ascii="Arial" w:hAnsi="Arial" w:cs="Arial"/>
    </w:rPr>
  </w:style>
  <w:style w:type="paragraph" w:styleId="Titolo1">
    <w:name w:val="heading 1"/>
    <w:basedOn w:val="Normale"/>
    <w:next w:val="Normale"/>
    <w:link w:val="Titolo1Carattere"/>
    <w:uiPriority w:val="99"/>
    <w:qFormat/>
    <w:pPr>
      <w:keepNext/>
      <w:widowControl/>
      <w:spacing w:before="240" w:after="60"/>
      <w:jc w:val="left"/>
      <w:outlineLvl w:val="0"/>
    </w:pPr>
    <w:rPr>
      <w:b/>
      <w:bCs/>
      <w:kern w:val="32"/>
      <w:sz w:val="32"/>
      <w:szCs w:val="32"/>
    </w:rPr>
  </w:style>
  <w:style w:type="paragraph" w:styleId="Titolo2">
    <w:name w:val="heading 2"/>
    <w:basedOn w:val="Normale"/>
    <w:next w:val="Normale"/>
    <w:link w:val="Titolo2Carattere"/>
    <w:uiPriority w:val="99"/>
    <w:qFormat/>
    <w:pPr>
      <w:keepNext/>
      <w:widowControl/>
      <w:spacing w:before="240" w:after="60"/>
      <w:jc w:val="left"/>
      <w:outlineLvl w:val="1"/>
    </w:pPr>
    <w:rPr>
      <w:b/>
      <w:bCs/>
      <w:i/>
      <w:iCs/>
      <w:sz w:val="28"/>
      <w:szCs w:val="28"/>
    </w:rPr>
  </w:style>
  <w:style w:type="paragraph" w:styleId="Titolo3">
    <w:name w:val="heading 3"/>
    <w:basedOn w:val="Normale"/>
    <w:next w:val="Normale"/>
    <w:link w:val="Titolo3Carattere"/>
    <w:uiPriority w:val="99"/>
    <w:qFormat/>
    <w:pPr>
      <w:keepNext/>
      <w:widowControl/>
      <w:spacing w:before="240" w:after="60"/>
      <w:jc w:val="left"/>
      <w:outlineLvl w:val="2"/>
    </w:pPr>
    <w:rPr>
      <w:b/>
      <w:bCs/>
      <w:sz w:val="26"/>
      <w:szCs w:val="26"/>
    </w:rPr>
  </w:style>
  <w:style w:type="paragraph" w:styleId="Titolo4">
    <w:name w:val="heading 4"/>
    <w:basedOn w:val="Normale"/>
    <w:next w:val="Normale"/>
    <w:link w:val="Titolo4Carattere"/>
    <w:uiPriority w:val="9"/>
    <w:semiHidden/>
    <w:unhideWhenUsed/>
    <w:qFormat/>
    <w:pPr>
      <w:keepNext/>
      <w:widowControl/>
      <w:spacing w:before="240" w:after="60"/>
      <w:jc w:val="left"/>
      <w:outlineLvl w:val="3"/>
    </w:pPr>
    <w:rPr>
      <w:rFonts w:asciiTheme="minorHAnsi" w:hAnsiTheme="minorHAnsi" w:cstheme="minorBidi"/>
      <w:b/>
      <w:bCs/>
      <w:sz w:val="28"/>
      <w:szCs w:val="28"/>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heme="minorBidi"/>
      <w:b/>
      <w:bCs/>
      <w:sz w:val="28"/>
      <w:szCs w:val="28"/>
    </w:rPr>
  </w:style>
  <w:style w:type="paragraph" w:styleId="Intestazione">
    <w:name w:val="header"/>
    <w:basedOn w:val="Normale"/>
    <w:next w:val="Normale"/>
    <w:link w:val="IntestazioneCarattere"/>
    <w:uiPriority w:val="99"/>
    <w:pPr>
      <w:widowControl/>
      <w:tabs>
        <w:tab w:val="center" w:pos="4819"/>
        <w:tab w:val="right" w:pos="9638"/>
      </w:tabs>
      <w:jc w:val="left"/>
    </w:pPr>
  </w:style>
  <w:style w:type="character" w:customStyle="1" w:styleId="IntestazioneCarattere">
    <w:name w:val="Intestazione Carattere"/>
    <w:basedOn w:val="Carpredefinitoparagrafo"/>
    <w:link w:val="Intestazione"/>
    <w:uiPriority w:val="99"/>
    <w:semiHidden/>
    <w:locked/>
    <w:rPr>
      <w:rFonts w:ascii="Arial" w:hAnsi="Arial" w:cs="Arial"/>
    </w:rPr>
  </w:style>
  <w:style w:type="paragraph" w:styleId="Pidipagina">
    <w:name w:val="footer"/>
    <w:basedOn w:val="Normale"/>
    <w:link w:val="PidipaginaCarattere"/>
    <w:uiPriority w:val="99"/>
    <w:pPr>
      <w:widowControl/>
      <w:tabs>
        <w:tab w:val="center" w:pos="4819"/>
        <w:tab w:val="right" w:pos="9638"/>
      </w:tabs>
      <w:jc w:val="left"/>
    </w:pPr>
  </w:style>
  <w:style w:type="character" w:customStyle="1" w:styleId="PidipaginaCarattere">
    <w:name w:val="Piè di pagina Carattere"/>
    <w:basedOn w:val="Carpredefinitoparagrafo"/>
    <w:link w:val="Pidipagina"/>
    <w:uiPriority w:val="99"/>
    <w:semiHidden/>
    <w:locked/>
    <w:rPr>
      <w:rFonts w:ascii="Arial" w:hAnsi="Arial" w:cs="Arial"/>
    </w:rPr>
  </w:style>
  <w:style w:type="character" w:styleId="Numeropagina">
    <w:name w:val="page number"/>
    <w:basedOn w:val="Carpredefinitoparagrafo"/>
    <w:uiPriority w:val="99"/>
    <w:rPr>
      <w:rFonts w:ascii="Arial" w:hAnsi="Arial" w:cs="Arial"/>
      <w:sz w:val="16"/>
      <w:szCs w:val="16"/>
    </w:rPr>
  </w:style>
  <w:style w:type="paragraph" w:styleId="Corpodeltesto">
    <w:name w:val="Body Text"/>
    <w:basedOn w:val="Normale"/>
    <w:link w:val="CorpodeltestoCarattere"/>
    <w:uiPriority w:val="99"/>
    <w:semiHidden/>
    <w:unhideWhenUsed/>
    <w:pPr>
      <w:widowControl/>
      <w:spacing w:after="120"/>
      <w:jc w:val="left"/>
    </w:pPr>
  </w:style>
  <w:style w:type="paragraph" w:styleId="Elenco">
    <w:name w:val="List"/>
    <w:basedOn w:val="Normale"/>
    <w:uiPriority w:val="99"/>
    <w:semiHidden/>
    <w:unhideWhenUsed/>
    <w:pPr>
      <w:widowControl/>
      <w:ind w:left="283" w:hanging="283"/>
      <w:contextualSpacing/>
      <w:jc w:val="left"/>
    </w:pPr>
  </w:style>
  <w:style w:type="character" w:customStyle="1" w:styleId="CorpodeltestoCarattere">
    <w:name w:val="Corpo del testo Carattere"/>
    <w:basedOn w:val="Carpredefinitoparagrafo"/>
    <w:link w:val="Corpodeltesto"/>
    <w:uiPriority w:val="99"/>
    <w:semiHidden/>
    <w:locked/>
    <w:rPr>
      <w:rFonts w:ascii="Arial" w:hAnsi="Arial" w:cs="Arial"/>
    </w:rPr>
  </w:style>
  <w:style w:type="paragraph" w:styleId="Didascalia">
    <w:name w:val="caption"/>
    <w:basedOn w:val="Normale"/>
    <w:next w:val="Normale"/>
    <w:uiPriority w:val="35"/>
    <w:semiHidden/>
    <w:unhideWhenUsed/>
    <w:qFormat/>
    <w:pPr>
      <w:widowControl/>
      <w:jc w:val="left"/>
    </w:pPr>
    <w:rPr>
      <w:b/>
      <w:bCs/>
      <w:sz w:val="20"/>
      <w:szCs w:val="20"/>
    </w:rPr>
  </w:style>
  <w:style w:type="paragraph" w:styleId="Testocommento">
    <w:name w:val="annotation text"/>
    <w:basedOn w:val="Normale"/>
    <w:link w:val="TestocommentoCarattere"/>
    <w:uiPriority w:val="99"/>
    <w:semiHidden/>
    <w:unhideWhenUsed/>
    <w:pPr>
      <w:widowControl/>
      <w:jc w:val="left"/>
    </w:pPr>
    <w:rPr>
      <w:sz w:val="20"/>
      <w:szCs w:val="20"/>
    </w:rPr>
  </w:style>
  <w:style w:type="character" w:customStyle="1" w:styleId="TestocommentoCarattere">
    <w:name w:val="Testo commento Carattere"/>
    <w:basedOn w:val="Carpredefinitoparagrafo"/>
    <w:link w:val="Testocommento"/>
    <w:uiPriority w:val="99"/>
    <w:semiHidden/>
    <w:locked/>
    <w:rPr>
      <w:rFonts w:ascii="Arial" w:hAnsi="Arial" w:cs="Arial"/>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locked/>
    <w:rPr>
      <w:b/>
      <w:bCs/>
    </w:rPr>
  </w:style>
  <w:style w:type="paragraph" w:styleId="Testofumetto">
    <w:name w:val="Balloon Text"/>
    <w:basedOn w:val="Normale"/>
    <w:link w:val="TestofumettoCarattere"/>
    <w:uiPriority w:val="99"/>
    <w:semiHidden/>
    <w:unhideWhenUsed/>
    <w:pPr>
      <w:widowControl/>
      <w:jc w:val="left"/>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styleId="Rimandocommento">
    <w:name w:val="annotation reference"/>
    <w:basedOn w:val="Carpredefinitoparagrafo"/>
    <w:uiPriority w:val="99"/>
    <w:semiHidden/>
    <w:unhideWhenUsed/>
    <w:rPr>
      <w:rFonts w:cs="Times New Roman"/>
      <w:sz w:val="16"/>
      <w:szCs w:val="16"/>
    </w:rPr>
  </w:style>
  <w:style w:type="paragraph" w:styleId="Paragrafoelenco">
    <w:name w:val="List Paragraph"/>
    <w:basedOn w:val="Normale"/>
    <w:uiPriority w:val="34"/>
    <w:qFormat/>
    <w:pPr>
      <w:widowControl/>
      <w:ind w:left="708"/>
      <w:jc w:val="left"/>
    </w:pPr>
  </w:style>
</w:styles>
</file>

<file path=word/webSettings.xml><?xml version="1.0" encoding="utf-8"?>
<w:webSettings xmlns:r="http://schemas.openxmlformats.org/officeDocument/2006/relationships" xmlns:w="http://schemas.openxmlformats.org/wordprocessingml/2006/main">
  <w:divs>
    <w:div w:id="1857160257">
      <w:marLeft w:val="0"/>
      <w:marRight w:val="0"/>
      <w:marTop w:val="0"/>
      <w:marBottom w:val="0"/>
      <w:divBdr>
        <w:top w:val="none" w:sz="0" w:space="0" w:color="auto"/>
        <w:left w:val="none" w:sz="0" w:space="0" w:color="auto"/>
        <w:bottom w:val="none" w:sz="0" w:space="0" w:color="auto"/>
        <w:right w:val="none" w:sz="0" w:space="0" w:color="auto"/>
      </w:divBdr>
    </w:div>
    <w:div w:id="1857160258">
      <w:marLeft w:val="0"/>
      <w:marRight w:val="0"/>
      <w:marTop w:val="0"/>
      <w:marBottom w:val="0"/>
      <w:divBdr>
        <w:top w:val="none" w:sz="0" w:space="0" w:color="auto"/>
        <w:left w:val="none" w:sz="0" w:space="0" w:color="auto"/>
        <w:bottom w:val="none" w:sz="0" w:space="0" w:color="auto"/>
        <w:right w:val="none" w:sz="0" w:space="0" w:color="auto"/>
      </w:divBdr>
    </w:div>
    <w:div w:id="1857160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5786</Characters>
  <Application>Microsoft Office Word</Application>
  <DocSecurity>0</DocSecurity>
  <Lines>48</Lines>
  <Paragraphs>13</Paragraphs>
  <ScaleCrop>false</ScaleCrop>
  <Company>ru</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MCLDTL69L68L117E</dc:creator>
  <cp:keywords/>
  <dc:description/>
  <cp:lastModifiedBy> </cp:lastModifiedBy>
  <cp:revision>2</cp:revision>
  <cp:lastPrinted>2016-12-30T09:08:00Z</cp:lastPrinted>
  <dcterms:created xsi:type="dcterms:W3CDTF">2016-12-30T09:25:00Z</dcterms:created>
  <dcterms:modified xsi:type="dcterms:W3CDTF">2016-12-30T09:25:00Z</dcterms:modified>
</cp:coreProperties>
</file>