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212" w:tblpY="55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37"/>
        <w:gridCol w:w="2528"/>
        <w:gridCol w:w="1712"/>
        <w:gridCol w:w="1473"/>
        <w:gridCol w:w="2654"/>
      </w:tblGrid>
      <w:tr w:rsidR="00E22444" w:rsidRPr="004D2C56" w:rsidTr="003837C9">
        <w:trPr>
          <w:trHeight w:val="313"/>
        </w:trPr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D2C56">
              <w:rPr>
                <w:rFonts w:ascii="Cambria" w:hAnsi="Cambria" w:cs="Arial"/>
                <w:b/>
                <w:sz w:val="32"/>
              </w:rPr>
              <w:br w:type="page"/>
            </w:r>
            <w:bookmarkStart w:id="1" w:name="RANGE!F5:J41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SCHEDA PREVENTIVO A COSTI STANDARD PER </w:t>
            </w:r>
            <w:bookmarkEnd w:id="1"/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LA FORMAZIONE TEORICA PREVISTA NEL PROGETTO</w:t>
            </w:r>
          </w:p>
          <w:p w:rsidR="00B871A6" w:rsidRPr="004D2C56" w:rsidRDefault="00B871A6" w:rsidP="003837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E22444" w:rsidRPr="004D2C56" w:rsidRDefault="00E22444" w:rsidP="003837C9">
            <w:pPr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BANDO:</w:t>
            </w:r>
          </w:p>
        </w:tc>
        <w:tc>
          <w:tcPr>
            <w:tcW w:w="5839" w:type="dxa"/>
            <w:gridSpan w:val="3"/>
            <w:vMerge w:val="restart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7C9" w:rsidRPr="004D2C56" w:rsidRDefault="003837C9" w:rsidP="003837C9">
            <w:pPr>
              <w:pStyle w:val="Default"/>
            </w:pPr>
          </w:p>
          <w:p w:rsidR="009E2C06" w:rsidRPr="004D19D9" w:rsidRDefault="009E2C06" w:rsidP="009E2C0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D19D9">
              <w:rPr>
                <w:rFonts w:asciiTheme="majorHAnsi" w:hAnsiTheme="majorHAnsi" w:cs="Arial"/>
                <w:b/>
                <w:sz w:val="22"/>
                <w:szCs w:val="22"/>
              </w:rPr>
              <w:t>Avviso Pubblico per la presentazione di Progetti formativi relativi alla prosecuzione dei percorsi di Istruzione e Formazione professionale (IeFP) da realizzare nel canale della formazione professionale (art.5 Legge Regionale n. 30/2013) – annualità 2016-2017</w:t>
            </w:r>
          </w:p>
          <w:p w:rsidR="00E22444" w:rsidRPr="004D2C56" w:rsidRDefault="00E22444" w:rsidP="005D6C45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1648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INTERVENTO: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44" w:rsidRPr="004D19D9" w:rsidRDefault="003837C9" w:rsidP="005D6C4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4D19D9">
              <w:rPr>
                <w:rFonts w:asciiTheme="majorHAnsi" w:hAnsiTheme="majorHAnsi"/>
                <w:b/>
                <w:bCs/>
                <w:sz w:val="22"/>
                <w:szCs w:val="22"/>
              </w:rPr>
              <w:t>Intervento 1</w:t>
            </w:r>
          </w:p>
        </w:tc>
      </w:tr>
      <w:tr w:rsidR="00E22444" w:rsidRPr="004D2C56" w:rsidTr="003837C9">
        <w:trPr>
          <w:trHeight w:val="719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TITOLO DEL PROGETTO: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557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SOGGETTO ATTUATORE: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TIPOLOGIA FORMATIVA:         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3837C9" w:rsidP="003837C9">
            <w:pPr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 xml:space="preserve">Formazione iniziale </w:t>
            </w:r>
          </w:p>
        </w:tc>
      </w:tr>
      <w:tr w:rsidR="00E22444" w:rsidRPr="004D2C56" w:rsidTr="003837C9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SPESE DI PROGETTAZIONE (1):</w:t>
            </w:r>
          </w:p>
        </w:tc>
      </w:tr>
      <w:tr w:rsidR="00E22444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100%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E22444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50%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8E4935" w:rsidRPr="004D2C56" w:rsidTr="003837C9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8E4935" w:rsidRPr="004D2C56" w:rsidRDefault="008E4935" w:rsidP="003837C9">
            <w:pPr>
              <w:rPr>
                <w:rFonts w:ascii="Cambria" w:hAnsi="Cambria" w:cs="Arial"/>
                <w:bCs/>
              </w:rPr>
            </w:pPr>
            <w:r w:rsidRPr="004D2C56">
              <w:rPr>
                <w:rFonts w:ascii="Cambria" w:hAnsi="Cambria" w:cs="Arial"/>
                <w:bCs/>
                <w:sz w:val="22"/>
                <w:szCs w:val="22"/>
              </w:rPr>
              <w:t>Riconosciute al 25%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35" w:rsidRPr="004D2C56" w:rsidRDefault="008E4935" w:rsidP="003837C9">
            <w:pPr>
              <w:jc w:val="center"/>
              <w:rPr>
                <w:rFonts w:ascii="Cambria" w:eastAsia="MS Mincho" w:hAnsi="MS Mincho" w:cs="MS Mincho"/>
                <w:color w:val="000000"/>
              </w:rPr>
            </w:pPr>
            <w:r w:rsidRPr="004D2C56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E22444" w:rsidRPr="004D2C56" w:rsidTr="003837C9">
        <w:trPr>
          <w:trHeight w:val="231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626"/>
        </w:trPr>
        <w:tc>
          <w:tcPr>
            <w:tcW w:w="3165" w:type="dxa"/>
            <w:gridSpan w:val="2"/>
            <w:vMerge w:val="restart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strike/>
                <w:color w:val="000000"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Denominazione figura professionale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PARTECIPANTI</w:t>
            </w: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br/>
              <w:t>PREVISTI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9E2C06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DURATA PREVISTA 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MONTE</w:t>
            </w:r>
            <w:r w:rsidR="0078345E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ORE PREVISTO</w:t>
            </w:r>
          </w:p>
        </w:tc>
      </w:tr>
      <w:tr w:rsidR="00E22444" w:rsidRPr="004D2C56" w:rsidTr="003837C9">
        <w:trPr>
          <w:trHeight w:val="313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4D2C56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C=BxA</w:t>
            </w:r>
          </w:p>
        </w:tc>
      </w:tr>
      <w:tr w:rsidR="00E22444" w:rsidRPr="004D2C56" w:rsidTr="003837C9">
        <w:trPr>
          <w:trHeight w:val="420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44" w:rsidRPr="004D2C56" w:rsidRDefault="00E22444" w:rsidP="003837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E22444" w:rsidRPr="004D2C56" w:rsidTr="003837C9">
        <w:trPr>
          <w:trHeight w:val="253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253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D2C56">
              <w:rPr>
                <w:rFonts w:ascii="Cambria" w:hAnsi="Cambria" w:cs="Arial"/>
                <w:b/>
                <w:bCs/>
                <w:sz w:val="20"/>
                <w:szCs w:val="20"/>
              </w:rPr>
              <w:t>CONTRIBUTO PUBBLICO (€):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rPr>
                <w:rFonts w:ascii="Cambria" w:hAnsi="Cambria" w:cs="Arial"/>
                <w:sz w:val="20"/>
                <w:szCs w:val="20"/>
              </w:rPr>
            </w:pPr>
            <w:r w:rsidRPr="004D2C56">
              <w:rPr>
                <w:rFonts w:ascii="Cambria" w:hAnsi="Cambria" w:cs="Arial"/>
                <w:sz w:val="20"/>
                <w:szCs w:val="20"/>
              </w:rPr>
              <w:t> …………………………………………</w:t>
            </w:r>
          </w:p>
        </w:tc>
      </w:tr>
      <w:tr w:rsidR="00E22444" w:rsidRPr="004D2C56" w:rsidTr="003837C9">
        <w:trPr>
          <w:trHeight w:val="253"/>
        </w:trPr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</w:p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>(1) barrare il caso pertinente secondo le seguenti indicazioni: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44" w:rsidRPr="004D2C56" w:rsidRDefault="00E22444" w:rsidP="003837C9">
            <w:pPr>
              <w:spacing w:before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9E2C06">
            <w:pPr>
              <w:spacing w:before="0"/>
              <w:ind w:left="284" w:hanging="5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>- riconosciute al 100%,</w:t>
            </w:r>
            <w:r w:rsidR="009E2C06">
              <w:rPr>
                <w:sz w:val="20"/>
                <w:szCs w:val="20"/>
              </w:rPr>
              <w:t xml:space="preserve"> nell’ipotesi in cui le unità di competenza proposte siano nuove, per almeno la metà del totale, rispetto a quelle presenti nel vigente </w:t>
            </w:r>
            <w:r w:rsidR="009E2C06">
              <w:rPr>
                <w:i/>
                <w:iCs/>
                <w:sz w:val="20"/>
                <w:szCs w:val="20"/>
              </w:rPr>
              <w:t xml:space="preserve">Repertorio Nazionale delle figure professionali di riferimento nazionale per l’offerta di istruzione e formazione professionale </w:t>
            </w:r>
            <w:r w:rsidR="009E2C06">
              <w:rPr>
                <w:sz w:val="20"/>
                <w:szCs w:val="20"/>
              </w:rPr>
              <w:t xml:space="preserve">o nella </w:t>
            </w:r>
            <w:r w:rsidR="009E2C06">
              <w:rPr>
                <w:i/>
                <w:iCs/>
                <w:sz w:val="20"/>
                <w:szCs w:val="20"/>
              </w:rPr>
              <w:t xml:space="preserve">Tabella di correlazione </w:t>
            </w:r>
            <w:r w:rsidR="009E2C06">
              <w:rPr>
                <w:sz w:val="20"/>
                <w:szCs w:val="20"/>
              </w:rPr>
              <w:t xml:space="preserve">di cui alla D.G.R. n. 90 del 31/01/2011, nonché rispetto agli </w:t>
            </w:r>
            <w:r w:rsidR="009E2C06">
              <w:rPr>
                <w:i/>
                <w:iCs/>
                <w:sz w:val="20"/>
                <w:szCs w:val="20"/>
              </w:rPr>
              <w:t xml:space="preserve">standard formativi minimi relativi alle competenze di base </w:t>
            </w:r>
            <w:r w:rsidR="009E2C06">
              <w:rPr>
                <w:sz w:val="20"/>
                <w:szCs w:val="20"/>
              </w:rPr>
              <w:t xml:space="preserve">linguistiche, matematiche, scientifiche, tecnologiche, storico-sociali ed economiche descritti, per il 2° anno, nel documento tecnico allegato al DM 139 del 22 agosto 2007 e per il 3° anno nell’allegato 4 dell’Accordo del 27 luglio 2011 </w:t>
            </w:r>
            <w:r w:rsidRPr="004D2C56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spacing w:before="0"/>
              <w:ind w:left="284" w:hanging="55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lastRenderedPageBreak/>
              <w:t>- riconosciute al 50%</w:t>
            </w:r>
            <w:r w:rsidR="009E2C0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9E2C06">
              <w:rPr>
                <w:sz w:val="20"/>
                <w:szCs w:val="20"/>
              </w:rPr>
              <w:t xml:space="preserve"> nell’ipotesi in cui le unità di competenza proposte siano nuove, per meno della metà del totale, rispetto a quelle presenti nel vigente </w:t>
            </w:r>
            <w:r w:rsidR="009E2C06">
              <w:rPr>
                <w:i/>
                <w:iCs/>
                <w:sz w:val="20"/>
                <w:szCs w:val="20"/>
              </w:rPr>
              <w:t xml:space="preserve">Repertorio Nazionale delle figure professionali di riferimento nazionale per l’offerta di istruzione e formazione professionale </w:t>
            </w:r>
            <w:r w:rsidR="009E2C06">
              <w:rPr>
                <w:sz w:val="20"/>
                <w:szCs w:val="20"/>
              </w:rPr>
              <w:t xml:space="preserve">o </w:t>
            </w:r>
            <w:r w:rsidR="009E2C06">
              <w:rPr>
                <w:i/>
                <w:iCs/>
                <w:sz w:val="20"/>
                <w:szCs w:val="20"/>
              </w:rPr>
              <w:t xml:space="preserve">nella Tabella di correlazione </w:t>
            </w:r>
            <w:r w:rsidR="009E2C06">
              <w:rPr>
                <w:sz w:val="20"/>
                <w:szCs w:val="20"/>
              </w:rPr>
              <w:t xml:space="preserve">di cui alla D.G.R. n. 90 del 31/01/2011, nonché rispetto agli </w:t>
            </w:r>
            <w:r w:rsidR="009E2C06">
              <w:rPr>
                <w:i/>
                <w:iCs/>
                <w:sz w:val="20"/>
                <w:szCs w:val="20"/>
              </w:rPr>
              <w:t xml:space="preserve">standard formativi minimi relativi alle competenze di base </w:t>
            </w:r>
            <w:r w:rsidR="009E2C06">
              <w:rPr>
                <w:sz w:val="20"/>
                <w:szCs w:val="20"/>
              </w:rPr>
              <w:t>linguistiche, matematiche, scientifiche, tecnologiche, storico-sociali ed economiche, descritti, per il 2° anno, nel documento tecnico allegato al DM n.139 del 22 agosto 2007 e per il 3° anno nell’allegato 4 dell’Accordo del 27 luglio 2011</w:t>
            </w:r>
            <w:r w:rsidR="00AC6827">
              <w:rPr>
                <w:sz w:val="20"/>
                <w:szCs w:val="20"/>
              </w:rPr>
              <w:t>;</w:t>
            </w:r>
          </w:p>
          <w:p w:rsidR="00614312" w:rsidRPr="004D2C56" w:rsidRDefault="00614312" w:rsidP="009E2C06">
            <w:pPr>
              <w:spacing w:before="0"/>
              <w:ind w:left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D2C56">
              <w:rPr>
                <w:rFonts w:ascii="Cambria" w:hAnsi="Cambria" w:cs="Arial"/>
                <w:sz w:val="18"/>
                <w:szCs w:val="18"/>
              </w:rPr>
              <w:t xml:space="preserve">- riconosciute al 25%, </w:t>
            </w:r>
            <w:r w:rsidR="009E2C06">
              <w:rPr>
                <w:sz w:val="20"/>
                <w:szCs w:val="20"/>
              </w:rPr>
              <w:t xml:space="preserve"> nell’ipotesi in cui nessuna delle unità di competenza proposte sia nuova rispetto a quelle presenti nel vigente </w:t>
            </w:r>
            <w:r w:rsidR="009E2C06">
              <w:rPr>
                <w:i/>
                <w:iCs/>
                <w:sz w:val="20"/>
                <w:szCs w:val="20"/>
              </w:rPr>
              <w:t xml:space="preserve">Repertorio delle figure professionali di riferimento nazionale per l’offerta di istruzione e formazione professionale </w:t>
            </w:r>
            <w:r w:rsidR="009E2C06">
              <w:rPr>
                <w:sz w:val="20"/>
                <w:szCs w:val="20"/>
              </w:rPr>
              <w:t xml:space="preserve">o nella </w:t>
            </w:r>
            <w:r w:rsidR="009E2C06">
              <w:rPr>
                <w:i/>
                <w:iCs/>
                <w:sz w:val="20"/>
                <w:szCs w:val="20"/>
              </w:rPr>
              <w:t xml:space="preserve">Tabella di correlazione </w:t>
            </w:r>
            <w:r w:rsidR="009E2C06">
              <w:rPr>
                <w:sz w:val="20"/>
                <w:szCs w:val="20"/>
              </w:rPr>
              <w:t xml:space="preserve">di cui alla D.G.R. n. 90 del 31/01/2011, nonché rispetto agli </w:t>
            </w:r>
            <w:r w:rsidR="009E2C06">
              <w:rPr>
                <w:i/>
                <w:iCs/>
                <w:sz w:val="20"/>
                <w:szCs w:val="20"/>
              </w:rPr>
              <w:t xml:space="preserve">standard formativi minimi relativi alle competenze di base </w:t>
            </w:r>
            <w:r w:rsidR="009E2C06">
              <w:rPr>
                <w:sz w:val="20"/>
                <w:szCs w:val="20"/>
              </w:rPr>
              <w:t xml:space="preserve">linguistiche, matematiche, scientifiche, tecnologiche, storico-sociali ed economiche descritti, per il 2° anno, nel documento tecnico allegato al DM n.139 del 22 agosto 2007 e per il 3° anno nell’allegato 4 dell’Accordo del 27 luglio. </w:t>
            </w:r>
          </w:p>
        </w:tc>
      </w:tr>
      <w:tr w:rsidR="00E22444" w:rsidRPr="004D2C56" w:rsidTr="003837C9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22444" w:rsidRPr="004D2C56" w:rsidRDefault="00E22444" w:rsidP="006F55DC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22444" w:rsidRPr="004D2C56" w:rsidTr="003837C9">
        <w:trPr>
          <w:trHeight w:val="554"/>
        </w:trPr>
        <w:tc>
          <w:tcPr>
            <w:tcW w:w="9004" w:type="dxa"/>
            <w:gridSpan w:val="5"/>
            <w:shd w:val="clear" w:color="auto" w:fill="auto"/>
            <w:vAlign w:val="center"/>
            <w:hideMark/>
          </w:tcPr>
          <w:p w:rsidR="00E22444" w:rsidRPr="004D2C56" w:rsidRDefault="00E22444" w:rsidP="003837C9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137320" w:rsidRPr="004C48A8" w:rsidRDefault="004C48A8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8A8">
        <w:rPr>
          <w:b/>
        </w:rPr>
        <w:t xml:space="preserve">Modello </w:t>
      </w:r>
      <w:r w:rsidR="00FB6A6D">
        <w:rPr>
          <w:b/>
        </w:rPr>
        <w:t>1</w:t>
      </w:r>
    </w:p>
    <w:sectPr w:rsidR="00137320" w:rsidRPr="004C48A8" w:rsidSect="0013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FF" w:rsidRDefault="008A03FF" w:rsidP="00466193">
      <w:pPr>
        <w:spacing w:before="0"/>
      </w:pPr>
      <w:r>
        <w:separator/>
      </w:r>
    </w:p>
  </w:endnote>
  <w:endnote w:type="continuationSeparator" w:id="0">
    <w:p w:rsidR="008A03FF" w:rsidRDefault="008A03FF" w:rsidP="004661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FF" w:rsidRDefault="008A03FF" w:rsidP="00466193">
      <w:pPr>
        <w:spacing w:before="0"/>
      </w:pPr>
      <w:r>
        <w:separator/>
      </w:r>
    </w:p>
  </w:footnote>
  <w:footnote w:type="continuationSeparator" w:id="0">
    <w:p w:rsidR="008A03FF" w:rsidRDefault="008A03FF" w:rsidP="0046619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44"/>
    <w:rsid w:val="00023588"/>
    <w:rsid w:val="000731E2"/>
    <w:rsid w:val="00137320"/>
    <w:rsid w:val="001D10E2"/>
    <w:rsid w:val="0022190F"/>
    <w:rsid w:val="003436B1"/>
    <w:rsid w:val="00376764"/>
    <w:rsid w:val="003837C9"/>
    <w:rsid w:val="003F5685"/>
    <w:rsid w:val="00466193"/>
    <w:rsid w:val="004719CF"/>
    <w:rsid w:val="004768A5"/>
    <w:rsid w:val="004C48A8"/>
    <w:rsid w:val="004D19D9"/>
    <w:rsid w:val="004D2C56"/>
    <w:rsid w:val="005437B6"/>
    <w:rsid w:val="005D6C45"/>
    <w:rsid w:val="005E36BB"/>
    <w:rsid w:val="00614312"/>
    <w:rsid w:val="00684FAD"/>
    <w:rsid w:val="006F55DC"/>
    <w:rsid w:val="0078345E"/>
    <w:rsid w:val="007A131B"/>
    <w:rsid w:val="008608AC"/>
    <w:rsid w:val="008A03FF"/>
    <w:rsid w:val="008A76F3"/>
    <w:rsid w:val="008E4935"/>
    <w:rsid w:val="009441E0"/>
    <w:rsid w:val="009A4875"/>
    <w:rsid w:val="009E2C06"/>
    <w:rsid w:val="00AC6827"/>
    <w:rsid w:val="00AE0AB0"/>
    <w:rsid w:val="00B45714"/>
    <w:rsid w:val="00B64969"/>
    <w:rsid w:val="00B83DAF"/>
    <w:rsid w:val="00B871A6"/>
    <w:rsid w:val="00C65465"/>
    <w:rsid w:val="00CE2036"/>
    <w:rsid w:val="00DD1C7D"/>
    <w:rsid w:val="00E22444"/>
    <w:rsid w:val="00E47165"/>
    <w:rsid w:val="00FB6A6D"/>
    <w:rsid w:val="00FC550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6A5812A-CC20-4DA8-A288-4338AAD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44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2244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224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224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24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837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6193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619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1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7493EA-02B5-45FF-81B1-A5B9F1C6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Lorella La Rocca</cp:lastModifiedBy>
  <cp:revision>2</cp:revision>
  <dcterms:created xsi:type="dcterms:W3CDTF">2016-10-11T07:08:00Z</dcterms:created>
  <dcterms:modified xsi:type="dcterms:W3CDTF">2016-10-11T07:08:00Z</dcterms:modified>
</cp:coreProperties>
</file>