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Caricare nei casi in cui ricorra l’ipotesi: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documentazione fotografica cronologica delle varie fasi di realizzazione delle parti dell’investimento non ispezionabili a lavoro ultimato (esempio: scavo per recinzione, fondazioni, palificazioni, rilevati ecc.). Dalle foto si deve evincere chiaramente la dimensione delle parti. Allo scopo potranno essere utilizzate attrezzature metriche (stadie, fettucce e similari) per quantificare superfici, sezioni, lunghezze e volumetrie;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documentazione fotografica dimostrativa del rispetto delle norme sulla pubblicità di cui all’art. 19 sia per gli investimenti immobiliari che mobiliari;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fotografie di tutti i lati degli investimenti immobiliari realizzati;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documentazione fotografica di tutti gli investimenti mobiliari e mobiliari fissi per destinazione, nella quale risulti altresì ben evidente il numero della matricola che deve corrispondere a quello riportato nella descrizione della fattura di acquisto;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Caricare dichiarazione sostitutiva redatta dai soggetti sottoposti ai controlli antimafia (ex art. 85 D. Lgs. 159/2011 e ss.mm.ii.) ed inerente ai loro familiari conviventi di maggiore età e residenti nel territorio dello Stato (Allegato A-8);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