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jc w:val="both"/>
        <w:rPr/>
      </w:pPr>
      <w:r w:rsidDel="00000000" w:rsidR="00000000" w:rsidRPr="00000000">
        <w:rPr>
          <w:rtl w:val="0"/>
        </w:rPr>
        <w:t xml:space="preserve">•Caricare una dichiarazione sostitutiva atto di notorietà a firma del richiedente / rappresentante legale, nella quale si evince che i terreni e fabbricati oggetto di insediamento non derivano da frazionamento in ambito familiare (genitori - figli), oppure da trasferimento tra coniugi (modello della dichiarazione è pubblicato nel sito web regionale (sezione </w:t>
      </w:r>
      <w:r w:rsidDel="00000000" w:rsidR="00000000" w:rsidRPr="00000000">
        <w:rPr>
          <w:b w:val="1"/>
          <w:rtl w:val="0"/>
        </w:rPr>
        <w:t xml:space="preserve">Tipologia di intervento 6.1.1 EURI)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https://www.regione.umbria.it/agricoltura/misura6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widowControl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/>
      </w:pPr>
      <w:r w:rsidDel="00000000" w:rsidR="00000000" w:rsidRPr="00000000">
        <w:rPr>
          <w:rtl w:val="0"/>
        </w:rPr>
        <w:t xml:space="preserve">Denominazione File: IC56159-160_Dichiarazione non fraz.-passaggio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regione.umbria.it/agricoltura/misur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