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22222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color w:val="222222"/>
          <w:rtl w:val="0"/>
        </w:rPr>
        <w:t xml:space="preserve">Caricare tabella con il calcolo della PST dell'Azienda alla data della Domanda di Sostegno se non contenuto nel Piano aziendale.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Qualora al momento della Domanda di Sostegno l'Azienda non raggiunga la PST minima prevista dal Bando, allegare dichiarazione del Tecnico inerente il calcolo della PST minima che l'Azienda raggiungerà a fine Piano. In entrambi i casi vanno presi a riferimento i valori di PST di cui all’Allegato A-3 del Bando.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le produzioni trasformate e commercializzate direttamente dall’Azienda (esclusi vino ed olio per i quali sono stati definiti i valori nell’allegato A-3) la produzione standard può essere sostituita da: documentazione fiscale attestante i ricavi relativa all'anno precedente oppure dai listini CCIAA dell'Umbria o regioni limitrofe oppure dall'analisi di mercato riferita ai tre anni precedenti alla presentazione della domanda.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produzioni non presenti nell’allegato A-3 del bando, le PST possono essere calcolate sulla base di listini CCIAA dell'Umbria o regioni limitrofe oppure dall'analisi di mercato riferita ai tre anni precedenti alla presentazione della domanda.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56166_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Rispetto del </w:t>
      </w: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argeting aziendale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