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24.3.0 -->
  <w:body>
    <w:p w:rsidR="00A77B3E">
      <w:pPr>
        <w:jc w:val="left"/>
      </w:pPr>
    </w:p>
    <w:p w:rsidR="00A77B3E">
      <w:pPr>
        <w:jc w:val="center"/>
        <w:rPr>
          <w:rFonts w:ascii="Times New Roman" w:eastAsia="Times New Roman" w:hAnsi="Times New Roman" w:cs="Times New Roman"/>
          <w:b w:val="0"/>
          <w:i w:val="0"/>
          <w:vanish w:val="0"/>
          <w:color w:val="000000"/>
          <w:sz w:val="32"/>
        </w:rPr>
      </w:pPr>
      <w:r>
        <w:rPr>
          <w:rFonts w:ascii="Times New Roman" w:eastAsia="Times New Roman" w:hAnsi="Times New Roman" w:cs="Times New Roman"/>
          <w:b w:val="0"/>
          <w:i w:val="0"/>
          <w:vanish w:val="0"/>
          <w:color w:val="000000"/>
          <w:sz w:val="32"/>
        </w:rPr>
        <w:t>Trasmissione di dati – articolo 42</w:t>
      </w:r>
    </w:p>
    <w:p w:rsidR="00A77B3E">
      <w:pPr>
        <w:jc w:val="left"/>
        <w:rPr>
          <w:rFonts w:ascii="Times New Roman" w:eastAsia="Times New Roman" w:hAnsi="Times New Roman" w:cs="Times New Roman"/>
          <w:b w:val="0"/>
          <w:i w:val="0"/>
          <w:vanish w:val="0"/>
          <w:color w:val="000000"/>
          <w:sz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8" w:type="dxa"/>
          <w:right w:w="108" w:type="dxa"/>
        </w:tblCellMar>
      </w:tblPr>
      <w:tblGrid>
        <w:gridCol w:w="2701"/>
        <w:gridCol w:w="7749"/>
      </w:tblGrid>
      <w:tr>
        <w:tblPrEx>
          <w:tblW w:w="5000" w:type="pc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40"/>
        </w:trPr>
        <w:tc>
          <w:tcPr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24"/>
              </w:rPr>
              <w:t>CCI</w:t>
            </w:r>
          </w:p>
        </w:tc>
        <w:tc>
          <w:tcPr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24"/>
              </w:rPr>
              <w:t>2021IT16RFPR018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40"/>
        </w:trPr>
        <w:tc>
          <w:tcPr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24"/>
              </w:rPr>
              <w:t>Titolo</w:t>
            </w:r>
          </w:p>
        </w:tc>
        <w:tc>
          <w:tcPr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24"/>
              </w:rPr>
              <w:t>RP Umbria ERDF 2021-2027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40"/>
        </w:trPr>
        <w:tc>
          <w:tcPr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24"/>
              </w:rPr>
              <w:t>Versione</w:t>
            </w:r>
          </w:p>
        </w:tc>
        <w:tc>
          <w:tcPr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24"/>
              </w:rPr>
              <w:t>202403.0</w:t>
            </w:r>
          </w:p>
        </w:tc>
      </w:tr>
    </w:tbl>
    <w:p w:rsidR="00A77B3E">
      <w:pPr>
        <w:jc w:val="center"/>
        <w:rPr>
          <w:rFonts w:ascii="Times New Roman" w:eastAsia="Times New Roman" w:hAnsi="Times New Roman" w:cs="Times New Roman"/>
          <w:b/>
          <w:i w:val="0"/>
          <w:vanish w:val="0"/>
          <w:color w:val="000000"/>
          <w:sz w:val="24"/>
        </w:rPr>
      </w:pPr>
      <w:r>
        <w:rPr>
          <w:rFonts w:ascii="Times New Roman" w:eastAsia="Times New Roman" w:hAnsi="Times New Roman" w:cs="Times New Roman"/>
          <w:b w:val="0"/>
          <w:i w:val="0"/>
          <w:vanish w:val="0"/>
          <w:color w:val="000000"/>
          <w:sz w:val="24"/>
        </w:rPr>
        <w:br w:type="page"/>
      </w:r>
      <w:r>
        <w:rPr>
          <w:rFonts w:ascii="Times New Roman" w:eastAsia="Times New Roman" w:hAnsi="Times New Roman" w:cs="Times New Roman"/>
          <w:b/>
          <w:i w:val="0"/>
          <w:vanish w:val="0"/>
          <w:color w:val="000000"/>
          <w:sz w:val="24"/>
        </w:rPr>
        <w:t>Indice</w:t>
      </w:r>
    </w:p>
    <w:p w:rsidR="00A77B3E">
      <w:pPr>
        <w:jc w:val="center"/>
        <w:rPr>
          <w:rFonts w:ascii="Times New Roman" w:eastAsia="Times New Roman" w:hAnsi="Times New Roman" w:cs="Times New Roman"/>
          <w:b w:val="0"/>
          <w:i w:val="0"/>
          <w:vanish w:val="0"/>
          <w:color w:val="000000"/>
          <w:sz w:val="24"/>
        </w:rPr>
      </w:pPr>
    </w:p>
    <w:p>
      <w:pPr>
        <w:pStyle w:val="TOC1"/>
        <w:tabs>
          <w:tab w:val="right" w:leader="dot" w:pos="10240"/>
        </w:tabs>
        <w:rPr>
          <w:rFonts w:ascii="Calibri" w:hAnsi="Calibri"/>
          <w:noProof/>
          <w:sz w:val="22"/>
        </w:rPr>
      </w:pPr>
      <w:r w:rsidR="00A77B3E">
        <w:rPr>
          <w:rFonts w:ascii="Times New Roman" w:eastAsia="Times New Roman" w:hAnsi="Times New Roman" w:cs="Times New Roman"/>
          <w:b w:val="0"/>
          <w:i w:val="0"/>
          <w:vanish w:val="0"/>
          <w:color w:val="000000"/>
          <w:sz w:val="24"/>
        </w:rPr>
        <w:fldChar w:fldCharType="begin"/>
      </w:r>
      <w:r w:rsidR="00A77B3E">
        <w:rPr>
          <w:rFonts w:ascii="Times New Roman" w:eastAsia="Times New Roman" w:hAnsi="Times New Roman" w:cs="Times New Roman"/>
          <w:b w:val="0"/>
          <w:i w:val="0"/>
          <w:vanish w:val="0"/>
          <w:color w:val="000000"/>
          <w:sz w:val="24"/>
        </w:rPr>
        <w:instrText>TOC \o "1-9" \z \u \h</w:instrText>
      </w:r>
      <w:r w:rsidR="00A77B3E">
        <w:rPr>
          <w:rFonts w:ascii="Times New Roman" w:eastAsia="Times New Roman" w:hAnsi="Times New Roman" w:cs="Times New Roman"/>
          <w:b w:val="0"/>
          <w:i w:val="0"/>
          <w:vanish w:val="0"/>
          <w:color w:val="000000"/>
          <w:sz w:val="24"/>
        </w:rPr>
        <w:fldChar w:fldCharType="separate"/>
      </w:r>
      <w:hyperlink w:anchor="_Toc256000002" w:history="1">
        <w:r w:rsidR="00A77B3E">
          <w:rPr>
            <w:rStyle w:val="Hyperlink"/>
            <w:rFonts w:ascii="Times New Roman" w:hAnsi="Times New Roman" w:cs="Times New Roman"/>
          </w:rPr>
          <w:t>Tabella 1: informazioni finanziarie a livello di priorità e di programma per il FESR, il FSE+, il Fondo di coesione, il JTF e il FEAMPA – articolo 42, paragrafo 2, lettera a)</w:t>
        </w:r>
        <w:r>
          <w:tab/>
        </w:r>
        <w:r>
          <w:fldChar w:fldCharType="begin"/>
        </w:r>
        <w:r>
          <w:instrText xml:space="preserve"> PAGEREF _Toc256000002 \h </w:instrText>
        </w:r>
        <w:r>
          <w:fldChar w:fldCharType="separate"/>
        </w:r>
        <w:r>
          <w:t>3</w:t>
        </w:r>
        <w:r>
          <w:fldChar w:fldCharType="end"/>
        </w:r>
      </w:hyperlink>
    </w:p>
    <w:p>
      <w:pPr>
        <w:pStyle w:val="TOC1"/>
        <w:tabs>
          <w:tab w:val="right" w:leader="dot" w:pos="10240"/>
        </w:tabs>
        <w:rPr>
          <w:rFonts w:ascii="Calibri" w:hAnsi="Calibri"/>
          <w:noProof/>
          <w:sz w:val="22"/>
        </w:rPr>
      </w:pPr>
      <w:hyperlink w:anchor="_Toc256000003" w:history="1">
        <w:r w:rsidR="00A77B3E">
          <w:rPr>
            <w:rStyle w:val="Hyperlink"/>
            <w:rFonts w:ascii="Times New Roman" w:hAnsi="Times New Roman" w:cs="Times New Roman"/>
          </w:rPr>
          <w:t>Tabella 2: dati finanziari cumulativi ripartiti per tipologia di intervento per il FESR, il FSE+, il Fondo di coesione e il JTF – articolo 42, paragrafo 2, lettera a)</w:t>
        </w:r>
        <w:r>
          <w:tab/>
        </w:r>
        <w:r>
          <w:fldChar w:fldCharType="begin"/>
        </w:r>
        <w:r>
          <w:instrText xml:space="preserve"> PAGEREF _Toc256000003 \h </w:instrText>
        </w:r>
        <w:r>
          <w:fldChar w:fldCharType="separate"/>
        </w:r>
        <w:r>
          <w:t>4</w:t>
        </w:r>
        <w:r>
          <w:fldChar w:fldCharType="end"/>
        </w:r>
      </w:hyperlink>
    </w:p>
    <w:p w:rsidR="00A77B3E">
      <w:pPr>
        <w:jc w:val="center"/>
        <w:rPr>
          <w:rFonts w:ascii="Times New Roman" w:eastAsia="Times New Roman" w:hAnsi="Times New Roman" w:cs="Times New Roman"/>
          <w:b w:val="0"/>
          <w:i w:val="0"/>
          <w:vanish w:val="0"/>
          <w:color w:val="000000"/>
          <w:sz w:val="24"/>
        </w:rPr>
        <w:sectPr>
          <w:headerReference w:type="even" r:id="rId4"/>
          <w:headerReference w:type="default" r:id="rId5"/>
          <w:footerReference w:type="even" r:id="rId6"/>
          <w:footerReference w:type="default" r:id="rId7"/>
          <w:headerReference w:type="first" r:id="rId8"/>
          <w:footerReference w:type="first" r:id="rId9"/>
          <w:pgSz w:w="11906" w:h="16838"/>
          <w:pgMar w:top="720" w:right="936" w:bottom="864" w:left="720" w:header="0" w:footer="72" w:gutter="0"/>
          <w:cols w:space="720"/>
          <w:noEndnote/>
          <w:docGrid w:linePitch="360"/>
        </w:sectPr>
      </w:pPr>
      <w:r>
        <w:rPr>
          <w:rFonts w:ascii="Times New Roman" w:eastAsia="Times New Roman" w:hAnsi="Times New Roman" w:cs="Times New Roman"/>
          <w:b w:val="0"/>
          <w:i w:val="0"/>
          <w:vanish w:val="0"/>
          <w:color w:val="000000"/>
          <w:sz w:val="24"/>
        </w:rPr>
        <w:fldChar w:fldCharType="end"/>
      </w:r>
    </w:p>
    <w:p w:rsidR="00A77B3E">
      <w:pPr>
        <w:pStyle w:val="Heading1"/>
        <w:spacing w:before="100" w:after="0"/>
        <w:jc w:val="left"/>
        <w:rPr>
          <w:rFonts w:ascii="Times New Roman" w:eastAsia="Times New Roman" w:hAnsi="Times New Roman" w:cs="Times New Roman"/>
          <w:b w:val="0"/>
          <w:i w:val="0"/>
          <w:vanish w:val="0"/>
          <w:color w:val="000000"/>
          <w:sz w:val="24"/>
        </w:rPr>
      </w:pPr>
      <w:bookmarkStart w:id="0" w:name="_Toc256000002"/>
      <w:r>
        <w:rPr>
          <w:rFonts w:ascii="Times New Roman" w:eastAsia="Times New Roman" w:hAnsi="Times New Roman" w:cs="Times New Roman"/>
          <w:b w:val="0"/>
          <w:i w:val="0"/>
          <w:vanish w:val="0"/>
          <w:color w:val="000000"/>
          <w:sz w:val="24"/>
        </w:rPr>
        <w:t>Tabella 1: informazioni finanziarie a livello di priorità e di programma per il FESR, il FSE+, il Fondo di coesione, il JTF e il FEAMPA – articolo 42, paragrafo 2, lettera a)</w:t>
      </w:r>
      <w:bookmarkEnd w:id="0"/>
    </w:p>
    <w:p w:rsidR="00A77B3E">
      <w:pPr>
        <w:spacing w:before="100" w:after="0"/>
        <w:jc w:val="left"/>
        <w:rPr>
          <w:rFonts w:ascii="Times New Roman" w:eastAsia="Times New Roman" w:hAnsi="Times New Roman" w:cs="Times New Roman"/>
          <w:b w:val="0"/>
          <w:i w:val="0"/>
          <w:vanish w:val="0"/>
          <w:color w:val="000000"/>
          <w:sz w:val="1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8" w:type="dxa"/>
          <w:right w:w="108" w:type="dxa"/>
        </w:tblCellMar>
      </w:tblPr>
      <w:tblGrid>
        <w:gridCol w:w="622"/>
        <w:gridCol w:w="705"/>
        <w:gridCol w:w="427"/>
        <w:gridCol w:w="777"/>
        <w:gridCol w:w="1139"/>
        <w:gridCol w:w="1592"/>
        <w:gridCol w:w="1140"/>
        <w:gridCol w:w="1478"/>
        <w:gridCol w:w="1290"/>
        <w:gridCol w:w="1724"/>
        <w:gridCol w:w="1393"/>
        <w:gridCol w:w="2011"/>
        <w:gridCol w:w="1004"/>
      </w:tblGrid>
      <w:tr>
        <w:tblPrEx>
          <w:tblW w:w="5000" w:type="pc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 w:val="0"/>
          <w:trHeight w:val="160"/>
          <w:tblHeader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4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5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7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8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9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13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/>
        </w:trPr>
        <w:tc>
          <w:tcPr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Dotazione finanziaria della priorità in base al programma</w:t>
            </w:r>
          </w:p>
        </w:tc>
        <w:tc>
          <w:tcPr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Dati cumulativi relativi all'andamento finanziario del programma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Priorità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Obiettivo specifico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Fondo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Categoria di regione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Base per il calcolo del contributo dell'Unione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Dotazione finanziaria totale per fondo e contributo nazionale (EUR)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Tasso di cofinanziamento (%)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Costo totale ammissibile delle operazioni selezionate (in EUR)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Contributo dei fondi alle operazioni selezionate (in EUR)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Proporzione della dotazione finanziaria totale coperta dalle operazioni selezionate (%)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Importo totale delle spese ammissibili dichiarate dai beneficiari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Proporzione della dotazione finanziaria totale coperta dalle spese ammissibili dichiarate dai beneficiari (%)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Numero delle operazioni selezionate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RSO1.1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Pubblico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78.484.565,00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40,0000000000%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430.000,00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0,55%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0,00%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RSO1.2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Pubblico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31.493.385,00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40,0000000000%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0,00%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0,00%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RSO1.3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Pubblico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111.977.950,00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40,0000000000%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0,00%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0,00%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RSO1.4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Pubblico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3.000.000,00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40,0000000000%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0,00%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0,00%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RSO2.1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Pubblico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41.375.000,00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40,0000000000%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0,00%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0,00%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RSO2.2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Pubblico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48.125.000,00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40,0000000000%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14.442.730,51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30,01%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0,00%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128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RSO2.4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Pubblico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22.703.990,00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40,0000000000%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0,00%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0,00%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RSO2.6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Pubblico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28.500.000,00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40,0000000000%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0,00%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0,00%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RSO2.7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Pubblico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13.000.000,00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40,0000000000%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0,00%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0,00%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RSO2.8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Pubblico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45.674.720,00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40,0000000000%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0,00%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0,00%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4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RSO4.6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Pubblico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9.000.000,00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40,0000000000%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0,00%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0,00%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5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RSO5.1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Pubblico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38.000.000,00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40,0000000000%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250.000,00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0,66%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0,00%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5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RSO5.2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Pubblico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34.000.000,00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40,0000000000%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250.000,00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0,74%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0,00%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Pubblico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18.328.200,00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40,0000000000%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307.511,00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1,68%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0,00%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Totale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523.662.810,00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15.680.241,51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2,99%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0,00%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133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Totale generale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523.662.810,00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15.680.241,51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2,99%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0,00%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133</w:t>
            </w:r>
          </w:p>
        </w:tc>
      </w:tr>
    </w:tbl>
    <w:p w:rsidR="00A77B3E">
      <w:pPr>
        <w:spacing w:before="100" w:after="0"/>
        <w:jc w:val="left"/>
        <w:rPr>
          <w:rFonts w:ascii="Times New Roman" w:eastAsia="Times New Roman" w:hAnsi="Times New Roman" w:cs="Times New Roman"/>
          <w:b w:val="0"/>
          <w:i w:val="0"/>
          <w:vanish w:val="0"/>
          <w:color w:val="000000"/>
          <w:sz w:val="12"/>
        </w:rPr>
        <w:sectPr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type w:val="nextPage"/>
          <w:pgSz w:w="16838" w:h="11906" w:orient="landscape"/>
          <w:pgMar w:top="720" w:right="720" w:bottom="864" w:left="936" w:header="288" w:footer="72" w:gutter="0"/>
          <w:cols w:space="720"/>
          <w:noEndnote/>
          <w:docGrid w:linePitch="360"/>
        </w:sectPr>
      </w:pPr>
    </w:p>
    <w:p w:rsidR="00A77B3E">
      <w:pPr>
        <w:pStyle w:val="Heading1"/>
        <w:spacing w:before="100" w:after="0"/>
        <w:jc w:val="left"/>
        <w:rPr>
          <w:rFonts w:ascii="Times New Roman" w:eastAsia="Times New Roman" w:hAnsi="Times New Roman" w:cs="Times New Roman"/>
          <w:b w:val="0"/>
          <w:i w:val="0"/>
          <w:vanish w:val="0"/>
          <w:color w:val="000000"/>
          <w:sz w:val="24"/>
        </w:rPr>
      </w:pPr>
      <w:bookmarkStart w:id="1" w:name="_Toc256000003"/>
      <w:r>
        <w:rPr>
          <w:rFonts w:ascii="Times New Roman" w:eastAsia="Times New Roman" w:hAnsi="Times New Roman" w:cs="Times New Roman"/>
          <w:b w:val="0"/>
          <w:i w:val="0"/>
          <w:vanish w:val="0"/>
          <w:color w:val="000000"/>
          <w:sz w:val="24"/>
        </w:rPr>
        <w:t>Tabella 2: dati finanziari cumulativi ripartiti per tipologia di intervento per il FESR, il FSE+, il Fondo di coesione e il JTF – articolo 42, paragrafo 2, lettera a)</w:t>
      </w:r>
      <w:bookmarkEnd w:id="1"/>
    </w:p>
    <w:p w:rsidR="00A77B3E">
      <w:pPr>
        <w:spacing w:before="100" w:after="0"/>
        <w:jc w:val="left"/>
        <w:rPr>
          <w:rFonts w:ascii="Times New Roman" w:eastAsia="Times New Roman" w:hAnsi="Times New Roman" w:cs="Times New Roman"/>
          <w:b w:val="0"/>
          <w:i w:val="0"/>
          <w:vanish w:val="0"/>
          <w:color w:val="000000"/>
          <w:sz w:val="1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8" w:type="dxa"/>
          <w:right w:w="108" w:type="dxa"/>
        </w:tblCellMar>
      </w:tblPr>
      <w:tblGrid>
        <w:gridCol w:w="650"/>
        <w:gridCol w:w="743"/>
        <w:gridCol w:w="427"/>
        <w:gridCol w:w="813"/>
        <w:gridCol w:w="787"/>
        <w:gridCol w:w="711"/>
        <w:gridCol w:w="1153"/>
        <w:gridCol w:w="1082"/>
        <w:gridCol w:w="988"/>
        <w:gridCol w:w="919"/>
        <w:gridCol w:w="1080"/>
        <w:gridCol w:w="1597"/>
        <w:gridCol w:w="1662"/>
        <w:gridCol w:w="1590"/>
        <w:gridCol w:w="1100"/>
      </w:tblGrid>
      <w:tr>
        <w:tblPrEx>
          <w:tblW w:w="5000" w:type="pc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 w:val="0"/>
          <w:trHeight w:val="160"/>
          <w:tblHeader/>
        </w:trPr>
        <w:tc>
          <w:tcPr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Caratteristiche della spesa</w:t>
            </w:r>
          </w:p>
        </w:tc>
        <w:tc>
          <w:tcPr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Categorizzazione per dimensione</w:t>
            </w:r>
          </w:p>
        </w:tc>
        <w:tc>
          <w:tcPr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Dati finanziari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/>
        </w:trPr>
        <w:tc>
          <w:tcPr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Priorità</w:t>
            </w:r>
          </w:p>
        </w:tc>
        <w:tc>
          <w:tcPr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Obiettivo specifico</w:t>
            </w:r>
          </w:p>
        </w:tc>
        <w:tc>
          <w:tcPr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Fondo</w:t>
            </w:r>
          </w:p>
        </w:tc>
        <w:tc>
          <w:tcPr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Categoria di regione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4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5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7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8</w:t>
            </w:r>
          </w:p>
        </w:tc>
        <w:tc>
          <w:tcPr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Costo totale ammissibile delle operazioni selezionate (in EUR)</w:t>
            </w:r>
          </w:p>
        </w:tc>
        <w:tc>
          <w:tcPr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Importo totale delle spese ammissibili dichiarate dai beneficiari</w:t>
            </w:r>
          </w:p>
        </w:tc>
        <w:tc>
          <w:tcPr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Numero delle operazioni selezionate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/>
        </w:trPr>
        <w:tc>
          <w:tcPr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Settore di intervento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Forme di sostegno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Dimensione "Erogazione territoriale"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Dimensione "Attività economica"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Dimensione "Ubicazione"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Tematica secondaria FSE+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Dimensione della parità di genere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Dimensione macroregionale e relativa ai bacini marittimi</w:t>
            </w:r>
          </w:p>
        </w:tc>
        <w:tc>
          <w:tcPr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center"/>
          </w:tcPr>
          <w:p w:rsidR="00A77B3E">
            <w:pPr>
              <w:spacing w:before="10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RSO1.1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430.000,00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RSO1.1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RSO1.1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RSO1.1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05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RSO1.1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RSO1.1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RSO1.1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RSO1.1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05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RSO1.1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024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RSO1.1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025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RSO1.1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026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RSO1.1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029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RSO1.2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RSO1.2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05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RSO1.2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RSO1.2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017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RSO1.3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021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08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RSO1.3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021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RSO1.3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021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04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RSO1.3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021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05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RSO1.3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024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RSO1.3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027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RSO1.3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027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RSO1.4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023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RSO2.1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040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05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RSO2.1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042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RSO2.1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044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RSO2.1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045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RSO2.2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048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14.442.730,51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128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RSO2.2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048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RSO2.2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053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05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RSO2.4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058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RSO2.4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061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RSO2.6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067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RSO2.6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069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RSO2.6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072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RSO2.6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075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RSO2.7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077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RSO2.7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078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RSO2.7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079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RSO2.8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082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RSO2.8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083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RSO2.8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085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RSO2.8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086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4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RSO4.6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018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4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RSO4.6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127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08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4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RSO4.6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165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4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RSO4.6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166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5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RSO5.1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5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RSO5.1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165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5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RSO5.1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166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5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RSO5.1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168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5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RSO5.1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169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250.000,00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5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RSO5.1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170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5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RSO5.2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048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08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5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RSO5.2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053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08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5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RSO5.2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121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08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5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RSO5.2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122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08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5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RSO5.2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127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08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5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RSO5.2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128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08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5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RSO5.2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129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08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5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RSO5.2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165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08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5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RSO5.2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166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08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5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RSO5.2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167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08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5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RSO5.2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168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08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5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RSO5.2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169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08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250.000,00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5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RSO5.2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170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08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179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180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307.511,00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181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182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26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ITI2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03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Totale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FESR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In transizione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15.680.241,51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133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cantSplit w:val="0"/>
          <w:trHeight w:val="160"/>
          <w:tblHeader w:val="0"/>
        </w:trPr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Totale generale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lef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15.680.241,51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0,00</w:t>
            </w:r>
          </w:p>
        </w:tc>
        <w:tc>
          <w:tcPr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80" w:type="dxa"/>
              <w:right w:w="60" w:type="dxa"/>
            </w:tcMar>
            <w:vAlign w:val="top"/>
          </w:tcPr>
          <w:p w:rsidR="00A77B3E">
            <w:pPr>
              <w:spacing w:before="100" w:after="0"/>
              <w:jc w:val="righ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12"/>
              </w:rPr>
              <w:t>133</w:t>
            </w:r>
          </w:p>
        </w:tc>
      </w:tr>
    </w:tbl>
    <w:p w:rsidR="00A77B3E">
      <w:pPr>
        <w:spacing w:before="100" w:after="0"/>
        <w:jc w:val="left"/>
        <w:rPr>
          <w:rFonts w:ascii="Times New Roman" w:eastAsia="Times New Roman" w:hAnsi="Times New Roman" w:cs="Times New Roman"/>
          <w:b w:val="0"/>
          <w:i w:val="0"/>
          <w:vanish w:val="0"/>
          <w:color w:val="000000"/>
          <w:sz w:val="12"/>
        </w:rPr>
      </w:pPr>
    </w:p>
    <w:sectPr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type w:val="nextPage"/>
      <w:pgSz w:w="16838" w:h="11906" w:orient="landscape"/>
      <w:pgMar w:top="720" w:right="720" w:bottom="864" w:left="936" w:header="288" w:footer="72" w:gutter="0"/>
      <w:cols w:space="72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7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7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CellMar>
        <w:left w:w="108" w:type="dxa"/>
        <w:right w:w="108" w:type="dxa"/>
      </w:tblCellMar>
    </w:tblPr>
    <w:tblGrid>
      <w:gridCol w:w="4028"/>
      <w:gridCol w:w="2395"/>
      <w:gridCol w:w="4027"/>
    </w:tblGrid>
    <w:tr>
      <w:tblPrEx>
        <w:tblW w:w="5000" w:type="pct"/>
        <w:tblCellMar>
          <w:left w:w="108" w:type="dxa"/>
          <w:right w:w="108" w:type="dxa"/>
        </w:tblCellMar>
      </w:tblPrEx>
      <w:trPr>
        <w:trHeight w:val="240"/>
      </w:trPr>
      <w:tc>
        <w:tcPr>
          <w:tcMar>
            <w:left w:w="100" w:type="dxa"/>
            <w:right w:w="100" w:type="dxa"/>
          </w:tcMar>
          <w:vAlign w:val="top"/>
        </w:tcPr>
        <w:p>
          <w:pPr>
            <w:jc w:val="left"/>
            <w:rPr>
              <w:rFonts w:ascii="Times New Roman" w:eastAsia="Times New Roman" w:hAnsi="Times New Roman" w:cs="Times New Roman"/>
              <w:b/>
              <w:vanish w:val="0"/>
              <w:color w:val="000000"/>
              <w:sz w:val="24"/>
            </w:rPr>
          </w:pPr>
          <w:r>
            <w:rPr>
              <w:rFonts w:ascii="Times New Roman" w:eastAsia="Times New Roman" w:hAnsi="Times New Roman" w:cs="Times New Roman"/>
              <w:b/>
              <w:vanish w:val="0"/>
              <w:color w:val="000000"/>
              <w:sz w:val="32"/>
            </w:rPr>
            <w:t>IT</w:t>
          </w:r>
        </w:p>
      </w:tc>
      <w:tc>
        <w:tcPr>
          <w:tcMar>
            <w:left w:w="100" w:type="dxa"/>
            <w:right w:w="100" w:type="dxa"/>
          </w:tcMar>
          <w:vAlign w:val="top"/>
        </w:tcPr>
        <w:p>
          <w:pPr>
            <w:jc w:val="center"/>
            <w:rPr>
              <w:rFonts w:ascii="Times New Roman" w:eastAsia="Times New Roman" w:hAnsi="Times New Roman" w:cs="Times New Roman"/>
              <w:b/>
              <w:vanish w:val="0"/>
              <w:color w:val="000000"/>
              <w:sz w:val="32"/>
            </w:rPr>
          </w:pPr>
          <w:r>
            <w:rPr>
              <w:rFonts w:ascii="Times New Roman" w:eastAsia="Times New Roman" w:hAnsi="Times New Roman" w:cs="Times New Roman"/>
              <w:b/>
              <w:vanish w:val="0"/>
              <w:color w:val="000000"/>
              <w:sz w:val="24"/>
            </w:rPr>
            <w:fldChar w:fldCharType="begin"/>
          </w:r>
          <w:r>
            <w:rPr>
              <w:rFonts w:ascii="Times New Roman" w:eastAsia="Times New Roman" w:hAnsi="Times New Roman" w:cs="Times New Roman"/>
              <w:b/>
              <w:vanish w:val="0"/>
              <w:color w:val="000000"/>
              <w:sz w:val="24"/>
            </w:rPr>
            <w:instrText>PAGE</w:instrText>
          </w:r>
          <w:r>
            <w:rPr>
              <w:rFonts w:ascii="Times New Roman" w:eastAsia="Times New Roman" w:hAnsi="Times New Roman" w:cs="Times New Roman"/>
              <w:b/>
              <w:vanish w:val="0"/>
              <w:color w:val="000000"/>
              <w:sz w:val="24"/>
            </w:rPr>
            <w:fldChar w:fldCharType="separate"/>
          </w:r>
          <w:r>
            <w:rPr>
              <w:rFonts w:ascii="Times New Roman" w:eastAsia="Times New Roman" w:hAnsi="Times New Roman" w:cs="Times New Roman"/>
              <w:b/>
              <w:noProof/>
              <w:vanish w:val="0"/>
              <w:color w:val="000000"/>
              <w:sz w:val="24"/>
              <w:szCs w:val="24"/>
              <w:lang w:val="en-US" w:eastAsia="en-US" w:bidi="ar-SA"/>
            </w:rPr>
            <w:t>2</w:t>
          </w:r>
          <w:r>
            <w:rPr>
              <w:rFonts w:ascii="Times New Roman" w:eastAsia="Times New Roman" w:hAnsi="Times New Roman" w:cs="Times New Roman"/>
              <w:b/>
              <w:vanish w:val="0"/>
              <w:color w:val="000000"/>
              <w:sz w:val="24"/>
            </w:rPr>
            <w:fldChar w:fldCharType="end"/>
          </w:r>
        </w:p>
      </w:tc>
      <w:tc>
        <w:tcPr>
          <w:tcMar>
            <w:left w:w="100" w:type="dxa"/>
            <w:right w:w="100" w:type="dxa"/>
          </w:tcMar>
          <w:vAlign w:val="top"/>
        </w:tcPr>
        <w:p>
          <w:pPr>
            <w:jc w:val="right"/>
            <w:rPr>
              <w:rFonts w:ascii="Times New Roman" w:eastAsia="Times New Roman" w:hAnsi="Times New Roman" w:cs="Times New Roman"/>
              <w:b/>
              <w:vanish w:val="0"/>
              <w:color w:val="000000"/>
              <w:sz w:val="32"/>
            </w:rPr>
          </w:pPr>
          <w:r>
            <w:rPr>
              <w:rFonts w:ascii="Times New Roman" w:eastAsia="Times New Roman" w:hAnsi="Times New Roman" w:cs="Times New Roman"/>
              <w:b/>
              <w:vanish w:val="0"/>
              <w:color w:val="000000"/>
              <w:sz w:val="32"/>
            </w:rPr>
            <w:t>IT</w:t>
          </w:r>
        </w:p>
      </w:tc>
    </w:tr>
  </w:tbl>
  <w:p>
    <w:pPr>
      <w:rPr>
        <w:rFonts w:ascii="Times New Roman" w:eastAsia="Times New Roman" w:hAnsi="Times New Roman" w:cs="Times New Roman"/>
        <w:b/>
        <w:color w:val="000000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/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/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CellMar>
        <w:left w:w="108" w:type="dxa"/>
        <w:right w:w="108" w:type="dxa"/>
      </w:tblCellMar>
    </w:tblPr>
    <w:tblGrid>
      <w:gridCol w:w="5928"/>
      <w:gridCol w:w="3526"/>
      <w:gridCol w:w="5928"/>
    </w:tblGrid>
    <w:tr>
      <w:tblPrEx>
        <w:tblW w:w="5000" w:type="pct"/>
        <w:tblCellMar>
          <w:left w:w="108" w:type="dxa"/>
          <w:right w:w="108" w:type="dxa"/>
        </w:tblCellMar>
      </w:tblPrEx>
      <w:trPr>
        <w:trHeight w:val="240"/>
      </w:trPr>
      <w:tc>
        <w:tcPr>
          <w:tcMar>
            <w:left w:w="100" w:type="dxa"/>
            <w:right w:w="100" w:type="dxa"/>
          </w:tcMar>
          <w:vAlign w:val="top"/>
        </w:tcPr>
        <w:p>
          <w:pPr>
            <w:jc w:val="left"/>
            <w:rPr>
              <w:rFonts w:ascii="Times New Roman" w:eastAsia="Times New Roman" w:hAnsi="Times New Roman" w:cs="Times New Roman"/>
              <w:b/>
              <w:vanish w:val="0"/>
              <w:color w:val="000000"/>
              <w:sz w:val="24"/>
            </w:rPr>
          </w:pPr>
          <w:r>
            <w:rPr>
              <w:rFonts w:ascii="Times New Roman" w:eastAsia="Times New Roman" w:hAnsi="Times New Roman" w:cs="Times New Roman"/>
              <w:b/>
              <w:vanish w:val="0"/>
              <w:color w:val="000000"/>
              <w:sz w:val="32"/>
            </w:rPr>
            <w:t>IT</w:t>
          </w:r>
        </w:p>
      </w:tc>
      <w:tc>
        <w:tcPr>
          <w:tcMar>
            <w:left w:w="100" w:type="dxa"/>
            <w:right w:w="100" w:type="dxa"/>
          </w:tcMar>
          <w:vAlign w:val="top"/>
        </w:tcPr>
        <w:p>
          <w:pPr>
            <w:jc w:val="center"/>
            <w:rPr>
              <w:rFonts w:ascii="Times New Roman" w:eastAsia="Times New Roman" w:hAnsi="Times New Roman" w:cs="Times New Roman"/>
              <w:b/>
              <w:vanish w:val="0"/>
              <w:color w:val="000000"/>
              <w:sz w:val="32"/>
            </w:rPr>
          </w:pPr>
          <w:r>
            <w:rPr>
              <w:rFonts w:ascii="Times New Roman" w:eastAsia="Times New Roman" w:hAnsi="Times New Roman" w:cs="Times New Roman"/>
              <w:b/>
              <w:vanish w:val="0"/>
              <w:color w:val="000000"/>
              <w:sz w:val="24"/>
            </w:rPr>
            <w:fldChar w:fldCharType="begin"/>
          </w:r>
          <w:r>
            <w:rPr>
              <w:rFonts w:ascii="Times New Roman" w:eastAsia="Times New Roman" w:hAnsi="Times New Roman" w:cs="Times New Roman"/>
              <w:b/>
              <w:vanish w:val="0"/>
              <w:color w:val="000000"/>
              <w:sz w:val="24"/>
            </w:rPr>
            <w:instrText>PAGE</w:instrText>
          </w:r>
          <w:r>
            <w:rPr>
              <w:rFonts w:ascii="Times New Roman" w:eastAsia="Times New Roman" w:hAnsi="Times New Roman" w:cs="Times New Roman"/>
              <w:b/>
              <w:vanish w:val="0"/>
              <w:color w:val="000000"/>
              <w:sz w:val="24"/>
            </w:rPr>
            <w:fldChar w:fldCharType="separate"/>
          </w:r>
          <w:r>
            <w:rPr>
              <w:rFonts w:ascii="Times New Roman" w:eastAsia="Times New Roman" w:hAnsi="Times New Roman" w:cs="Times New Roman"/>
              <w:b/>
              <w:noProof/>
              <w:vanish w:val="0"/>
              <w:color w:val="000000"/>
              <w:sz w:val="24"/>
              <w:szCs w:val="24"/>
              <w:lang w:val="en-US" w:eastAsia="en-US" w:bidi="ar-SA"/>
            </w:rPr>
            <w:t>3</w:t>
          </w:r>
          <w:r>
            <w:rPr>
              <w:rFonts w:ascii="Times New Roman" w:eastAsia="Times New Roman" w:hAnsi="Times New Roman" w:cs="Times New Roman"/>
              <w:b/>
              <w:vanish w:val="0"/>
              <w:color w:val="000000"/>
              <w:sz w:val="24"/>
            </w:rPr>
            <w:fldChar w:fldCharType="end"/>
          </w:r>
        </w:p>
      </w:tc>
      <w:tc>
        <w:tcPr>
          <w:tcMar>
            <w:left w:w="100" w:type="dxa"/>
            <w:right w:w="100" w:type="dxa"/>
          </w:tcMar>
          <w:vAlign w:val="top"/>
        </w:tcPr>
        <w:p>
          <w:pPr>
            <w:jc w:val="right"/>
            <w:rPr>
              <w:rFonts w:ascii="Times New Roman" w:eastAsia="Times New Roman" w:hAnsi="Times New Roman" w:cs="Times New Roman"/>
              <w:b/>
              <w:vanish w:val="0"/>
              <w:color w:val="000000"/>
              <w:sz w:val="32"/>
            </w:rPr>
          </w:pPr>
          <w:r>
            <w:rPr>
              <w:rFonts w:ascii="Times New Roman" w:eastAsia="Times New Roman" w:hAnsi="Times New Roman" w:cs="Times New Roman"/>
              <w:b/>
              <w:vanish w:val="0"/>
              <w:color w:val="000000"/>
              <w:sz w:val="32"/>
            </w:rPr>
            <w:t>IT</w:t>
          </w:r>
        </w:p>
      </w:tc>
    </w:tr>
  </w:tbl>
  <w:p>
    <w:pPr>
      <w:rPr>
        <w:rFonts w:ascii="Times New Roman" w:eastAsia="Times New Roman" w:hAnsi="Times New Roman" w:cs="Times New Roman"/>
        <w:b/>
        <w:color w:val="000000"/>
      </w:rPr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/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/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CellMar>
        <w:left w:w="108" w:type="dxa"/>
        <w:right w:w="108" w:type="dxa"/>
      </w:tblCellMar>
    </w:tblPr>
    <w:tblGrid>
      <w:gridCol w:w="6062"/>
      <w:gridCol w:w="3177"/>
      <w:gridCol w:w="6063"/>
    </w:tblGrid>
    <w:tr>
      <w:tblPrEx>
        <w:tblW w:w="5000" w:type="pct"/>
        <w:tblCellMar>
          <w:left w:w="108" w:type="dxa"/>
          <w:right w:w="108" w:type="dxa"/>
        </w:tblCellMar>
      </w:tblPrEx>
      <w:trPr>
        <w:cantSplit w:val="0"/>
        <w:trHeight w:val="160"/>
        <w:tblHeader w:val="0"/>
      </w:trPr>
      <w:tc>
        <w:tcPr>
          <w:tcMar>
            <w:top w:w="0" w:type="dxa"/>
            <w:left w:w="60" w:type="dxa"/>
            <w:bottom w:w="80" w:type="dxa"/>
            <w:right w:w="60" w:type="dxa"/>
          </w:tcMar>
          <w:vAlign w:val="top"/>
        </w:tcPr>
        <w:p>
          <w:pPr>
            <w:jc w:val="left"/>
            <w:rPr>
              <w:rFonts w:ascii="Times New Roman" w:eastAsia="Times New Roman" w:hAnsi="Times New Roman" w:cs="Times New Roman"/>
              <w:b/>
              <w:vanish w:val="0"/>
              <w:color w:val="000000"/>
              <w:sz w:val="24"/>
            </w:rPr>
          </w:pPr>
          <w:r>
            <w:rPr>
              <w:rFonts w:ascii="Times New Roman" w:eastAsia="Times New Roman" w:hAnsi="Times New Roman" w:cs="Times New Roman"/>
              <w:b/>
              <w:vanish w:val="0"/>
              <w:color w:val="000000"/>
              <w:sz w:val="32"/>
            </w:rPr>
            <w:t>IT</w:t>
          </w:r>
        </w:p>
      </w:tc>
      <w:tc>
        <w:tcPr>
          <w:tcMar>
            <w:top w:w="0" w:type="dxa"/>
            <w:left w:w="60" w:type="dxa"/>
            <w:bottom w:w="80" w:type="dxa"/>
            <w:right w:w="60" w:type="dxa"/>
          </w:tcMar>
          <w:vAlign w:val="top"/>
        </w:tcPr>
        <w:p>
          <w:pPr>
            <w:jc w:val="center"/>
            <w:rPr>
              <w:rFonts w:ascii="Times New Roman" w:eastAsia="Times New Roman" w:hAnsi="Times New Roman" w:cs="Times New Roman"/>
              <w:b/>
              <w:vanish w:val="0"/>
              <w:color w:val="000000"/>
              <w:sz w:val="32"/>
            </w:rPr>
          </w:pPr>
          <w:r>
            <w:rPr>
              <w:rFonts w:ascii="Times New Roman" w:eastAsia="Times New Roman" w:hAnsi="Times New Roman" w:cs="Times New Roman"/>
              <w:b/>
              <w:vanish w:val="0"/>
              <w:color w:val="000000"/>
              <w:sz w:val="24"/>
            </w:rPr>
            <w:fldChar w:fldCharType="begin"/>
          </w:r>
          <w:r>
            <w:rPr>
              <w:rFonts w:ascii="Times New Roman" w:eastAsia="Times New Roman" w:hAnsi="Times New Roman" w:cs="Times New Roman"/>
              <w:b/>
              <w:vanish w:val="0"/>
              <w:color w:val="000000"/>
              <w:sz w:val="24"/>
            </w:rPr>
            <w:instrText>PAGE</w:instrText>
          </w:r>
          <w:r>
            <w:rPr>
              <w:rFonts w:ascii="Times New Roman" w:eastAsia="Times New Roman" w:hAnsi="Times New Roman" w:cs="Times New Roman"/>
              <w:b/>
              <w:vanish w:val="0"/>
              <w:color w:val="000000"/>
              <w:sz w:val="24"/>
            </w:rPr>
            <w:fldChar w:fldCharType="separate"/>
          </w:r>
          <w:r>
            <w:rPr>
              <w:rFonts w:ascii="Times New Roman" w:eastAsia="Times New Roman" w:hAnsi="Times New Roman" w:cs="Times New Roman"/>
              <w:b/>
              <w:noProof/>
              <w:vanish w:val="0"/>
              <w:color w:val="000000"/>
              <w:sz w:val="24"/>
              <w:szCs w:val="24"/>
              <w:lang w:val="en-US" w:eastAsia="en-US" w:bidi="ar-SA"/>
            </w:rPr>
            <w:t>6</w:t>
          </w:r>
          <w:r>
            <w:rPr>
              <w:rFonts w:ascii="Times New Roman" w:eastAsia="Times New Roman" w:hAnsi="Times New Roman" w:cs="Times New Roman"/>
              <w:b/>
              <w:vanish w:val="0"/>
              <w:color w:val="000000"/>
              <w:sz w:val="24"/>
            </w:rPr>
            <w:fldChar w:fldCharType="end"/>
          </w:r>
        </w:p>
      </w:tc>
      <w:tc>
        <w:tcPr>
          <w:tcMar>
            <w:top w:w="0" w:type="dxa"/>
            <w:left w:w="60" w:type="dxa"/>
            <w:bottom w:w="80" w:type="dxa"/>
            <w:right w:w="60" w:type="dxa"/>
          </w:tcMar>
          <w:vAlign w:val="top"/>
        </w:tcPr>
        <w:p>
          <w:pPr>
            <w:jc w:val="right"/>
            <w:rPr>
              <w:rFonts w:ascii="Times New Roman" w:eastAsia="Times New Roman" w:hAnsi="Times New Roman" w:cs="Times New Roman"/>
              <w:b/>
              <w:vanish w:val="0"/>
              <w:color w:val="000000"/>
              <w:sz w:val="32"/>
            </w:rPr>
          </w:pPr>
          <w:r>
            <w:rPr>
              <w:rFonts w:ascii="Times New Roman" w:eastAsia="Times New Roman" w:hAnsi="Times New Roman" w:cs="Times New Roman"/>
              <w:b/>
              <w:vanish w:val="0"/>
              <w:color w:val="000000"/>
              <w:sz w:val="32"/>
            </w:rPr>
            <w:t>IT</w:t>
          </w:r>
        </w:p>
      </w:tc>
    </w:tr>
  </w:tbl>
  <w:p>
    <w:pPr>
      <w:rPr>
        <w:rFonts w:ascii="Times New Roman" w:eastAsia="Times New Roman" w:hAnsi="Times New Roman" w:cs="Times New Roman"/>
        <w:b/>
        <w:color w:val="000000"/>
      </w:rPr>
    </w:pPr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/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/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/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/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/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/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/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/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efaultTabStop w:val="720"/>
  <w:noPunctuationKerning/>
  <w:characterSpacingControl w:val="doNotCompress"/>
  <w:compat>
    <w:useWord2002TableStyleRules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77B3E"/>
    <w:rsid w:val="00A77B3E"/>
    <w:rsid w:val="00CA2A55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noProof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rsid w:val="00EF7B9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TOC1">
    <w:name w:val="toc 1"/>
    <w:basedOn w:val="Normal"/>
    <w:next w:val="Normal"/>
    <w:autoRedefine/>
    <w:rsid w:val="00805BCE"/>
    <w:rPr>
      <w:b w:val="0"/>
      <w:caps w:val="0"/>
    </w:rPr>
  </w:style>
  <w:style w:type="character" w:styleId="Hyperlink">
    <w:name w:val="Hyperlink"/>
    <w:basedOn w:val="DefaultParagraphFont"/>
    <w:rsid w:val="00EF7B96"/>
    <w:rPr>
      <w:color w:val="0000FF"/>
      <w:u w:val="single"/>
    </w:rPr>
  </w:style>
  <w:style w:type="paragraph" w:styleId="TOC3">
    <w:name w:val="toc 3"/>
    <w:basedOn w:val="Normal"/>
    <w:next w:val="Normal"/>
    <w:autoRedefine/>
    <w:rsid w:val="00805BCE"/>
    <w:pPr>
      <w:ind w:left="480"/>
    </w:pPr>
    <w:rPr>
      <w:i w:val="0"/>
    </w:rPr>
  </w:style>
  <w:style w:type="paragraph" w:styleId="TOC4">
    <w:name w:val="toc 4"/>
    <w:basedOn w:val="Normal"/>
    <w:next w:val="Normal"/>
    <w:autoRedefine/>
    <w:rsid w:val="00805BCE"/>
    <w:pPr>
      <w:ind w:left="720"/>
    </w:pPr>
    <w:rPr>
      <w:i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4.xml" /><Relationship Id="rId11" Type="http://schemas.openxmlformats.org/officeDocument/2006/relationships/header" Target="header5.xml" /><Relationship Id="rId12" Type="http://schemas.openxmlformats.org/officeDocument/2006/relationships/footer" Target="footer4.xml" /><Relationship Id="rId13" Type="http://schemas.openxmlformats.org/officeDocument/2006/relationships/footer" Target="footer5.xml" /><Relationship Id="rId14" Type="http://schemas.openxmlformats.org/officeDocument/2006/relationships/header" Target="header6.xml" /><Relationship Id="rId15" Type="http://schemas.openxmlformats.org/officeDocument/2006/relationships/footer" Target="footer6.xml" /><Relationship Id="rId16" Type="http://schemas.openxmlformats.org/officeDocument/2006/relationships/header" Target="header7.xml" /><Relationship Id="rId17" Type="http://schemas.openxmlformats.org/officeDocument/2006/relationships/header" Target="header8.xml" /><Relationship Id="rId18" Type="http://schemas.openxmlformats.org/officeDocument/2006/relationships/footer" Target="footer7.xml" /><Relationship Id="rId19" Type="http://schemas.openxmlformats.org/officeDocument/2006/relationships/footer" Target="footer8.xml" /><Relationship Id="rId2" Type="http://schemas.openxmlformats.org/officeDocument/2006/relationships/webSettings" Target="webSettings.xml" /><Relationship Id="rId20" Type="http://schemas.openxmlformats.org/officeDocument/2006/relationships/header" Target="header9.xml" /><Relationship Id="rId21" Type="http://schemas.openxmlformats.org/officeDocument/2006/relationships/footer" Target="footer9.xml" /><Relationship Id="rId22" Type="http://schemas.openxmlformats.org/officeDocument/2006/relationships/theme" Target="theme/theme1.xml" /><Relationship Id="rId23" Type="http://schemas.openxmlformats.org/officeDocument/2006/relationships/styles" Target="style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header" Target="header2.xml" /><Relationship Id="rId6" Type="http://schemas.openxmlformats.org/officeDocument/2006/relationships/footer" Target="footer1.xml" /><Relationship Id="rId7" Type="http://schemas.openxmlformats.org/officeDocument/2006/relationships/footer" Target="footer2.xml" /><Relationship Id="rId8" Type="http://schemas.openxmlformats.org/officeDocument/2006/relationships/header" Target="header3.xml" /><Relationship Id="rId9" Type="http://schemas.openxmlformats.org/officeDocument/2006/relationships/footer" Target="footer3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TotalTime>0</TotalTime>
  <Pages>6</Pages>
  <Words>0</Words>
  <Characters>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</cp:coreProperties>
</file>