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11.0 -->
  <w:body>
    <w:p w:rsidR="00A77B3E">
      <w:pPr>
        <w:jc w:val="lef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Previsione di pagamento SFC2021</w:t>
      </w: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44"/>
        <w:gridCol w:w="770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2021IT05SFPR016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ESF+ 2021-2027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202401.0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1" w:history="1">
        <w:r w:rsidR="00A77B3E">
          <w:rPr>
            <w:rStyle w:val="Hyperlink"/>
            <w:rFonts w:ascii="Times New Roman" w:hAnsi="Times New Roman" w:cs="Times New Roman"/>
          </w:rPr>
          <w:t>Previsione dell'importo per il quale lo Stato membro intende presentare domande di pagamento per l'anno civile in corso e per quello successivo (articolo 69, paragrafo 10)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 w:rsidR="00A77B3E">
      <w:pPr>
        <w:pStyle w:val="Heading1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1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Previsione dell'importo per il quale lo Stato membro intende presentare domande di pagamento per l'anno civile in corso e per quello successivo (articolo 69, paragrafo 10)</w:t>
      </w:r>
      <w:bookmarkEnd w:id="0"/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044"/>
        <w:gridCol w:w="2194"/>
        <w:gridCol w:w="2404"/>
        <w:gridCol w:w="2404"/>
        <w:gridCol w:w="240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gridSpan w:val="2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1150" w:type="pct"/>
            <w:gridSpan w:val="3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Contributo dell'Unione previsto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gridSpan w:val="2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1150" w:type="pct"/>
            <w:gridSpan w:val="2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Fondo</w:t>
            </w:r>
          </w:p>
        </w:tc>
        <w:tc>
          <w:tcPr>
            <w:tcW w:w="10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Categoria di regione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Ottobre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Novembre - Dicembre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Dicembre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50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FSE+</w:t>
            </w:r>
          </w:p>
        </w:tc>
        <w:tc>
          <w:tcPr>
            <w:tcW w:w="10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In transizione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0,00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6.400.000,00</w:t>
            </w:r>
          </w:p>
        </w:tc>
        <w:tc>
          <w:tcPr>
            <w:tcW w:w="1150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10.000.000,00</w:t>
            </w:r>
          </w:p>
        </w:tc>
      </w:tr>
    </w:tbl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936" w:bottom="864" w:left="720" w:header="0" w:footer="7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4028"/>
      <w:gridCol w:w="2395"/>
      <w:gridCol w:w="4027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lef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left="720"/>
    </w:pPr>
    <w:rPr>
      <w:i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